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jc w:val="center"/>
      </w:pPr>
      <w:r>
        <w:rPr>
          <w:rFonts w:ascii="Helvetica" w:cs="Helvetica" w:eastAsia="Helvetica" w:hAnsi="Helvetica"/>
          <w:b/>
          <w:bCs/>
          <w:i w:val="false"/>
          <w:iCs w:val="false"/>
          <w:color w:val="00447C"/>
          <w:sz w:val="36"/>
          <w:szCs w:val="36"/>
        </w:rPr>
        <w:t xml:space="preserve">SECTION 07 05 43.05</w:t>
      </w:r>
    </w:p>
    <w:p>
      <w:pPr>
        <w:spacing w:after="80" w:before="0"/>
        <w:jc w:val="center"/>
      </w:pPr>
      <w:r>
        <w:rPr>
          <w:rFonts w:ascii="Helvetica" w:cs="Helvetica" w:eastAsia="Helvetica" w:hAnsi="Helvetica"/>
          <w:b/>
          <w:bCs/>
          <w:i w:val="false"/>
          <w:iCs w:val="false"/>
          <w:color w:val="00447C"/>
          <w:sz w:val="28"/>
          <w:szCs w:val="28"/>
        </w:rPr>
        <w:t xml:space="preserve">STRUCTURAL THERMAL FRAMING FOR WINDOWS AND OPENINGS</w:t>
      </w:r>
    </w:p>
    <w:p>
      <w:pPr>
        <w:spacing w:after="60" w:before="60"/>
      </w:pPr>
      <w:r>
        <w:rPr>
          <w:rFonts w:ascii="Helvetica" w:cs="Helvetica" w:eastAsia="Helvetica" w:hAnsi="Helvetica"/>
          <w:b w:val="false"/>
          <w:bCs w:val="false"/>
          <w:i/>
          <w:iCs/>
          <w:color w:val="666666"/>
          <w:sz w:val="18"/>
          <w:szCs w:val="18"/>
        </w:rPr>
        <w:t xml:space="preserve">Composite Metal Hybrid Fenestration Support System</w:t>
      </w:r>
    </w:p>
    <w:p>
      <w:pPr>
        <w:spacing w:after="80" w:before="180"/>
        <w:ind w:left="0"/>
      </w:pPr>
      <w:r>
        <w:rPr>
          <w:rFonts w:ascii="Helvetica" w:cs="Helvetica" w:eastAsia="Helvetica" w:hAnsi="Helvetica"/>
          <w:b/>
          <w:bCs/>
          <w:i w:val="false"/>
          <w:iCs w:val="false"/>
          <w:color w:val="00447C"/>
          <w:sz w:val="22"/>
          <w:szCs w:val="22"/>
        </w:rPr>
        <w:t xml:space="preserve">Document: A2P-E-XO-SPC01-v2.3 • 2026-05-21</w:t>
      </w:r>
    </w:p>
    <w:p>
      <w:pPr>
        <w:spacing w:after="80" w:before="180"/>
        <w:ind w:left="0"/>
      </w:pPr>
      <w:r>
        <w:rPr>
          <w:rFonts w:ascii="Helvetica" w:cs="Helvetica" w:eastAsia="Helvetica" w:hAnsi="Helvetica"/>
          <w:b/>
          <w:bCs/>
          <w:i w:val="false"/>
          <w:iCs w:val="false"/>
          <w:color w:val="00447C"/>
          <w:sz w:val="22"/>
          <w:szCs w:val="22"/>
        </w:rPr>
        <w:t xml:space="preserve">Owner: Engineering — MASTER DOCUMENT</w:t>
      </w:r>
    </w:p>
    <w:p>
      <w:pPr>
        <w:pBdr>
          <w:bottom w:val="single" w:color="00447C" w:sz="8" w:space="6"/>
        </w:pBdr>
        <w:spacing w:after="200" w:before="200"/>
        <w:jc w:val="center"/>
      </w:pPr>
      <w:r>
        <w:rPr>
          <w:rFonts w:ascii="Helvetica" w:cs="Helvetica" w:eastAsia="Helvetica" w:hAnsi="Helvetica"/>
          <w:b/>
          <w:bCs/>
          <w:i w:val="false"/>
          <w:iCs w:val="false"/>
          <w:color w:val="00447C"/>
          <w:sz w:val="32"/>
          <w:szCs w:val="32"/>
        </w:rPr>
        <w:t xml:space="preserve">PART 1: GENERAL</w:t>
      </w:r>
    </w:p>
    <w:p>
      <w:pPr>
        <w:spacing w:after="100" w:before="240"/>
      </w:pPr>
      <w:r>
        <w:rPr>
          <w:rFonts w:ascii="Helvetica" w:cs="Helvetica" w:eastAsia="Helvetica" w:hAnsi="Helvetica"/>
          <w:b/>
          <w:bCs/>
          <w:i w:val="false"/>
          <w:iCs w:val="false"/>
          <w:color w:val="00447C"/>
          <w:sz w:val="26"/>
          <w:szCs w:val="26"/>
        </w:rPr>
        <w:t xml:space="preserve">1.01 SECTION INCLUDES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Structural thermal framing for fenestration openings including windows, doors, storefronts, and curtain wall systems.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Composite metal hybrid framing members, attachment clips, fasteners, and accessories.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Modular aluminum interface flanges at header, jamb, and sill conditions.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Engineering support including project-specific PE-stamped calculations.</w:t>
      </w:r>
    </w:p>
    <w:p>
      <w:pPr>
        <w:spacing w:after="100" w:before="240"/>
      </w:pPr>
      <w:r>
        <w:rPr>
          <w:rFonts w:ascii="Helvetica" w:cs="Helvetica" w:eastAsia="Helvetica" w:hAnsi="Helvetica"/>
          <w:b/>
          <w:bCs/>
          <w:i w:val="false"/>
          <w:iCs w:val="false"/>
          <w:color w:val="00447C"/>
          <w:sz w:val="26"/>
          <w:szCs w:val="26"/>
        </w:rPr>
        <w:t xml:space="preserve">1.02 RELATED SECTIONS</w:t>
      </w:r>
    </w:p>
    <w:p>
      <w:pPr>
        <w:spacing w:after="80" w:before="180"/>
        <w:ind w:left="0"/>
      </w:pPr>
      <w:r>
        <w:rPr>
          <w:rFonts w:ascii="Helvetica" w:cs="Helvetica" w:eastAsia="Helvetica" w:hAnsi="Helvetica"/>
          <w:b/>
          <w:bCs/>
          <w:i w:val="false"/>
          <w:iCs w:val="false"/>
          <w:color w:val="00447C"/>
          <w:sz w:val="22"/>
          <w:szCs w:val="22"/>
        </w:rPr>
        <w:t xml:space="preserve">A. Structure and Framing</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05 40 00: Cold-Formed Metal Framing</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06 10 00: Rough Carpentry</w:t>
      </w:r>
    </w:p>
    <w:p>
      <w:pPr>
        <w:spacing w:after="80" w:before="180"/>
        <w:ind w:left="0"/>
      </w:pPr>
      <w:r>
        <w:rPr>
          <w:rFonts w:ascii="Helvetica" w:cs="Helvetica" w:eastAsia="Helvetica" w:hAnsi="Helvetica"/>
          <w:b/>
          <w:bCs/>
          <w:i w:val="false"/>
          <w:iCs w:val="false"/>
          <w:color w:val="00447C"/>
          <w:sz w:val="22"/>
          <w:szCs w:val="22"/>
        </w:rPr>
        <w:t xml:space="preserve">B. Insulation and Air/Water Barriers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21 00: Thermal Insulation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21 13: Board Insulation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22 17: Continuous Insulation Z-Girt Systems (GreenGirt CMH)</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27 00: Air/Water-Resistive Barriers</w:t>
      </w:r>
    </w:p>
    <w:p>
      <w:pPr>
        <w:spacing w:after="80" w:before="180"/>
        <w:ind w:left="0"/>
      </w:pPr>
      <w:r>
        <w:rPr>
          <w:rFonts w:ascii="Helvetica" w:cs="Helvetica" w:eastAsia="Helvetica" w:hAnsi="Helvetica"/>
          <w:b/>
          <w:bCs/>
          <w:i w:val="false"/>
          <w:iCs w:val="false"/>
          <w:color w:val="00447C"/>
          <w:sz w:val="22"/>
          <w:szCs w:val="22"/>
        </w:rPr>
        <w:t xml:space="preserve">C. Cladding and Veneer Systems</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Include sections applicable to the project. The fenestration support framing system interfaces with the cladding system at the window-to-wall transition. Coordinate cladding attachment, flashing, and trim details with the framing system manufacturer.</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04 21 13: Brick Masonry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04 42 00: Exterior Stone Cladding (Natural Stone)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04 43 00: Stone Masonry Veneer (Terra Cotta)</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42 13: Metal Wall Panels (Preformed)</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5.</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42 43: Metal Composite Material Wall Panels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6.</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44 56: Fiber Cement Cladding</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7.</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46 19: Phenolic Panel Cladding</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8.</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46 33: High-Pressure Laminate (HPL) Cladding</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9.</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46 46: Cementitious Cladding</w:t>
      </w:r>
    </w:p>
    <w:p>
      <w:pPr>
        <w:spacing w:after="80" w:before="180"/>
        <w:ind w:left="0"/>
      </w:pPr>
      <w:r>
        <w:rPr>
          <w:rFonts w:ascii="Helvetica" w:cs="Helvetica" w:eastAsia="Helvetica" w:hAnsi="Helvetica"/>
          <w:b/>
          <w:bCs/>
          <w:i w:val="false"/>
          <w:iCs w:val="false"/>
          <w:color w:val="00447C"/>
          <w:sz w:val="22"/>
          <w:szCs w:val="22"/>
        </w:rPr>
        <w:t xml:space="preserve">D. Fenestration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08 41 13: Aluminum-Framed Entrances and Storefronts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08 44 13: Glazed Aluminum Curtain Walls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08 50 00: Windows</w:t>
      </w:r>
    </w:p>
    <w:p>
      <w:pPr>
        <w:spacing w:after="80" w:before="180"/>
        <w:ind w:left="0"/>
      </w:pPr>
      <w:r>
        <w:rPr>
          <w:rFonts w:ascii="Helvetica" w:cs="Helvetica" w:eastAsia="Helvetica" w:hAnsi="Helvetica"/>
          <w:b/>
          <w:bCs/>
          <w:i w:val="false"/>
          <w:iCs w:val="false"/>
          <w:color w:val="00447C"/>
          <w:sz w:val="22"/>
          <w:szCs w:val="22"/>
        </w:rPr>
        <w:t xml:space="preserve">E. Sealants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Section 07 92 00: Joint Sealants</w:t>
      </w:r>
    </w:p>
    <w:p>
      <w:pPr>
        <w:spacing w:after="100" w:before="240"/>
      </w:pPr>
      <w:r>
        <w:rPr>
          <w:rFonts w:ascii="Helvetica" w:cs="Helvetica" w:eastAsia="Helvetica" w:hAnsi="Helvetica"/>
          <w:b/>
          <w:bCs/>
          <w:i w:val="false"/>
          <w:iCs w:val="false"/>
          <w:color w:val="00447C"/>
          <w:sz w:val="26"/>
          <w:szCs w:val="26"/>
        </w:rPr>
        <w:t xml:space="preserve">1.03 REFERENCE STANDARDS</w:t>
      </w:r>
    </w:p>
    <w:p>
      <w:pPr>
        <w:spacing w:after="80" w:before="180"/>
        <w:ind w:left="0"/>
      </w:pPr>
      <w:r>
        <w:rPr>
          <w:rFonts w:ascii="Helvetica" w:cs="Helvetica" w:eastAsia="Helvetica" w:hAnsi="Helvetica"/>
          <w:b/>
          <w:bCs/>
          <w:i w:val="false"/>
          <w:iCs w:val="false"/>
          <w:color w:val="00447C"/>
          <w:sz w:val="22"/>
          <w:szCs w:val="22"/>
        </w:rPr>
        <w:t xml:space="preserve">A. Structural</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ASCE 7: Minimum Design Loads and Associated Criteria for Buildings and Other Structures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D7332: Standard Test Methods for Measuring the Fastener Pull-Through Resistance of a Fiber-Reinforced Polymer Matrix Composite</w:t>
      </w:r>
    </w:p>
    <w:p>
      <w:pPr>
        <w:spacing w:after="80" w:before="180"/>
        <w:ind w:left="0"/>
      </w:pPr>
      <w:r>
        <w:rPr>
          <w:rFonts w:ascii="Helvetica" w:cs="Helvetica" w:eastAsia="Helvetica" w:hAnsi="Helvetica"/>
          <w:b/>
          <w:bCs/>
          <w:i w:val="false"/>
          <w:iCs w:val="false"/>
          <w:color w:val="00447C"/>
          <w:sz w:val="22"/>
          <w:szCs w:val="22"/>
        </w:rPr>
        <w:t xml:space="preserve">B. Thermal</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ISO 10211: Thermal Bridges in Building Construction — Heat Flows and Surface Temperatures (including chi-value methodology for point thermal bridges)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ASHRAE 90.1: Energy Standard for Buildings Except Low-Rise Residential</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BC Hydro Building Envelope Thermal Bridging Guide</w:t>
      </w:r>
    </w:p>
    <w:p>
      <w:pPr>
        <w:spacing w:after="80" w:before="180"/>
        <w:ind w:left="0"/>
      </w:pPr>
      <w:r>
        <w:rPr>
          <w:rFonts w:ascii="Helvetica" w:cs="Helvetica" w:eastAsia="Helvetica" w:hAnsi="Helvetica"/>
          <w:b/>
          <w:bCs/>
          <w:i w:val="false"/>
          <w:iCs w:val="false"/>
          <w:color w:val="00447C"/>
          <w:sz w:val="22"/>
          <w:szCs w:val="22"/>
        </w:rPr>
        <w:t xml:space="preserve">C. Fire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E84: Standard Test Method for Surface Burning Characteristics of Building Materials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NFPA 285: Standard Fire Test Method for Evaluation of Fire Propagation Characteristics of Exterior Wall Assemblies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IBC Section 202: Definitions (Non-Combustible)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IBC Section 1403.5: Vertical and Lateral Flame Propagation</w:t>
      </w:r>
    </w:p>
    <w:p>
      <w:pPr>
        <w:spacing w:after="80" w:before="180"/>
        <w:ind w:left="0"/>
      </w:pPr>
      <w:r>
        <w:rPr>
          <w:rFonts w:ascii="Helvetica" w:cs="Helvetica" w:eastAsia="Helvetica" w:hAnsi="Helvetica"/>
          <w:b/>
          <w:bCs/>
          <w:i w:val="false"/>
          <w:iCs w:val="false"/>
          <w:color w:val="00447C"/>
          <w:sz w:val="22"/>
          <w:szCs w:val="22"/>
        </w:rPr>
        <w:t xml:space="preserve">D. Air, Water, and Moisture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E2357: Standard Test Method for Determining Air Leakage of Air Barrier Assemblies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E331: Standard Test Method for Water Penetration of Exterior Windows, Skylights, Doors, and Curtain Walls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D570: Standard Test Method for Water Absorption of Plastics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IBC Section 1405.3: Vapor Retarders</w:t>
      </w:r>
    </w:p>
    <w:p>
      <w:pPr>
        <w:spacing w:after="80" w:before="180"/>
        <w:ind w:left="0"/>
      </w:pPr>
      <w:r>
        <w:rPr>
          <w:rFonts w:ascii="Helvetica" w:cs="Helvetica" w:eastAsia="Helvetica" w:hAnsi="Helvetica"/>
          <w:b/>
          <w:bCs/>
          <w:i w:val="false"/>
          <w:iCs w:val="false"/>
          <w:color w:val="00447C"/>
          <w:sz w:val="22"/>
          <w:szCs w:val="22"/>
        </w:rPr>
        <w:t xml:space="preserve">E. Materials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A653: Standard Specification for Steel Sheet, Zinc-Coated (Galvanized) by the Hot-Dip Process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B221: Standard Specification for Aluminum and Aluminum-Alloy Extruded Bars, Rods, Wire, Profiles, and Tubes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E111: Standard Test Method for Young's Modulus, Tangent Modulus, and Chord Modulus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B557: Standard Test Methods for Tension Testing Wrought and Cast Aluminum- and Magnesium-Alloy Products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5.</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E290: Standard Test Methods for Bend Testing of Material for Ductility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6.</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D638: Standard Test Method for Tensile Properties of Plastics (or equivalent, for non-metal materials)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7.</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D790: Standard Test Method for Flexural Properties of Unreinforced and Reinforced Plastics (or equivalent, for non-metal materials)</w:t>
      </w:r>
    </w:p>
    <w:p>
      <w:pPr>
        <w:spacing w:after="100" w:before="240"/>
      </w:pPr>
      <w:r>
        <w:rPr>
          <w:rFonts w:ascii="Helvetica" w:cs="Helvetica" w:eastAsia="Helvetica" w:hAnsi="Helvetica"/>
          <w:b/>
          <w:bCs/>
          <w:i w:val="false"/>
          <w:iCs w:val="false"/>
          <w:color w:val="00447C"/>
          <w:sz w:val="26"/>
          <w:szCs w:val="26"/>
        </w:rPr>
        <w:t xml:space="preserve">1.04 SUBMITTALS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Product data sheets for all system components.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Third-party thermal simulation report demonstrating compliance with Performance Requirement 1 (Psi threshold) at sill, head, and jamb conditions per ISO 10211. Report shall identify the wall assembly context modeled, including backup framing, continuous insulation depth, and fenestration unit type per Section 1.05.A.6.</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E84 test report demonstrating compliance with Performance Requirement 5 (fire safety).</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NFPA 285 assembly test report or letter of equivalency from fire protection engineer (where required by code).</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E.</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E2357 air infiltration test report at pressure differential meeting or exceeding Performance Requirement 4 minimum. Report shall identify testing laboratory, test date, assembly configuration, and measured air leakage rate.</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F.</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ASTM E331 water penetration test report at pressure differential meeting or exceeding Performance Requirement 4 minimum. Report shall identify testing laboratory, test date, assembly configuration, test duration, and result.</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G.</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Material water absorption data per ASTM D570 or equivalent.</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H.</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PE-stamped structural calculations for project-specific loading conditions, including eccentric cantilever loading analysis per Performance Requirement 3.</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I.</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Manufacturer warranty documentation confirming single-source coverage of all system components per Performance Requirement 6.</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J.</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Shop drawings showing framing layout, clip locations, interface flange profiles, and AWB integration details for each fenestration condition.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K.</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AWB compatibility documentation confirming compatibility between framing system flange surfaces and the project-specified AWB system.</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L.</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Joint sealant specification for framing-to-framing corner joints, including product, application instructions, and cure schedule.</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M.</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Installation instructions.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N.</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Certified Assembly Thermal Performance report per Performance Requirement 7, including: complete assembly boundary definition, Assembly Thermal Efficiency calculation, Psi values at sill/head/jamb, chi values at brackets, thermal flanking path analysis, isothermal plots, and independent consultant/PE certification. Report shall be project-specific for the actual CI depth, fenestration depth, backup framing type, and bracket spacing.</w:t>
      </w:r>
    </w:p>
    <w:p>
      <w:pPr>
        <w:spacing w:after="100" w:before="240"/>
      </w:pPr>
      <w:r>
        <w:rPr>
          <w:rFonts w:ascii="Helvetica" w:cs="Helvetica" w:eastAsia="Helvetica" w:hAnsi="Helvetica"/>
          <w:b/>
          <w:bCs/>
          <w:i w:val="false"/>
          <w:iCs w:val="false"/>
          <w:color w:val="00447C"/>
          <w:sz w:val="26"/>
          <w:szCs w:val="26"/>
        </w:rPr>
        <w:t xml:space="preserve">1.05 PERFORMANCE REQUIREMENTS</w:t>
      </w:r>
    </w:p>
    <w:p>
      <w:pPr>
        <w:pBdr>
          <w:left w:val="single" w:color="00447C" w:sz="18" w:space="8"/>
        </w:pBdr>
        <w:spacing w:after="120" w:before="120"/>
        <w:ind w:left="360" w:right="360"/>
      </w:pPr>
      <w:r>
        <w:rPr>
          <w:rFonts w:ascii="Helvetica" w:cs="Helvetica" w:eastAsia="Helvetica" w:hAnsi="Helvetica"/>
          <w:b/>
          <w:bCs/>
          <w:i/>
          <w:iCs/>
          <w:color w:val="00447C"/>
          <w:sz w:val="18"/>
          <w:szCs w:val="18"/>
        </w:rPr>
        <w:t xml:space="preserve">COMPLIANCE REQUIREMENT: Systems shall meet ALL of the following seven (7) performance requirements. Systems that meet only partial requirements shall not be considered acceptable substitutes. All criteria must be demonstrated through independent third-party verification or PE-stamped documentation.</w:t>
      </w:r>
    </w:p>
    <w:p>
      <w:pPr>
        <w:spacing w:after="80" w:before="180"/>
        <w:ind w:left="0"/>
      </w:pPr>
      <w:r>
        <w:rPr>
          <w:rFonts w:ascii="Helvetica" w:cs="Helvetica" w:eastAsia="Helvetica" w:hAnsi="Helvetica"/>
          <w:b/>
          <w:bCs/>
          <w:i w:val="false"/>
          <w:iCs w:val="false"/>
          <w:color w:val="00447C"/>
          <w:sz w:val="22"/>
          <w:szCs w:val="22"/>
        </w:rPr>
        <w:t xml:space="preserve">A. THERMAL PERFORMANCE (Performance Requirement 1)</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Linear thermal transmittance (Psi, ψ) shall not exceed 0.025 Btu/(hr·ft·°F) [0.043 W/(m·K)] at sill, head, and jamb perimeter conditions.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Thermal performance shall be validated by an independent third-party thermal modeling consultant using methodology compliant with ISO 10211.</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Simulation shall include all framing members, fastener penetrations, clip connections, and insulation interfaces.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R-value claims alone are not acceptable as evidence of compliance. Linear thermal transmittance (Psi) is the required metric for fenestration perimeter conditions.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5.</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Verification Method: Psi values shall be verified by third-party two-dimensional or three-dimensional thermal simulation performed in accordance with:</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ISO 10211 — Thermal bridges in building construction</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ASHRAE 90.1 Appendix A methodology</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BC Hydro Building Envelope Thermal Bridging Guide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6.</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Wall Assembly Context: Psi is inherently dependent on the wall assembly in which it is calculated. Reported Psi values shall identify the wall context modeled, including backup framing type and gauge, continuous insulation depth and conductivity, and fenestration unit type and depth. Psi values calculated in a different wall context are not comparable and shall not be considered equivalent for substitution evaluation. Where the project-specific wall assembly differs from the basis-of-design simulation of steel-stud framing, exterior continuous insulation, and aluminum framed-fenestration, manufacturer shall provide updated Psi values for the project wall context.</w:t>
      </w:r>
    </w:p>
    <w:p>
      <w:pPr>
        <w:spacing w:after="80" w:before="180"/>
        <w:ind w:left="0"/>
      </w:pPr>
      <w:r>
        <w:rPr>
          <w:rFonts w:ascii="Helvetica" w:cs="Helvetica" w:eastAsia="Helvetica" w:hAnsi="Helvetica"/>
          <w:b/>
          <w:bCs/>
          <w:i w:val="false"/>
          <w:iCs w:val="false"/>
          <w:color w:val="00447C"/>
          <w:sz w:val="22"/>
          <w:szCs w:val="22"/>
        </w:rPr>
        <w:t xml:space="preserve">B. THERMAL PLANE ALIGNMENT (Performance Requirement 2)</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Fenestration system shall position the exterior surface of the outermost glazing layer aligned with the exterior face of the continuous insulation. The glazing shall be flush with this plane (0") or recessed up to one inch (−1") inboard, and shall not extend outboard of the continuous insulation plane.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Alignment shall be verified by section detail review during submittal phase and field verification during installation.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Systems that position fenestration in a different thermal plane than the continuous insulation shall not be considered compliant.</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Thermal Flanking Elimination: The system shall provide continuous thermal break between the fenestration frame and the structural substrate at all perimeter conditions, eliminating thermal bypass paths. Inboard misalignment within the permitted range increases heat loss via thermal flanking; the magnitude shall be quantified in the assembly thermal certification per Performance Requirement 7.</w:t>
      </w:r>
    </w:p>
    <w:p>
      <w:pPr>
        <w:spacing w:after="80" w:before="180"/>
        <w:ind w:left="0"/>
      </w:pPr>
      <w:r>
        <w:rPr>
          <w:rFonts w:ascii="Helvetica" w:cs="Helvetica" w:eastAsia="Helvetica" w:hAnsi="Helvetica"/>
          <w:b/>
          <w:bCs/>
          <w:i w:val="false"/>
          <w:iCs w:val="false"/>
          <w:color w:val="00447C"/>
          <w:sz w:val="22"/>
          <w:szCs w:val="22"/>
        </w:rPr>
        <w:t xml:space="preserve">C. STRUCTURAL PERFORMANCE (Performance Requirement 3)</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Dead Load Capacity: Non-combustible structural support members shall be capable of supporting fenestration dead loads of [INSERT PROJECT SPECIFIC] plf.</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Live Load Capacity: System shall resist design wind loads of [INSERT PROJECT SPECIFIC] psf in accordance with ASCE 7 component and cladding requirements. Live load straps shall be furnished by the window manufacturer.</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A2P can furnish integrated live load brackets if noted in specifications. Contact A2P engineering for project-specific options.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Engineering Methodology: Structural analysis shall account for:</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Eccentric cantilever loading conditions</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Anisotropic material properties of composite, lumber, and other non-metal materials</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Point loading at fastener locations representative of actual cladding dynamics</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Thermal cycling effects on connections</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Uniform loading calculations alone are not acceptable as they are not representative of actual loading dynamics on composite wall systems.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Fastener Backing: All fasteners shall be fastened into a metal backer or a bolted connection only. Fastening into composite, FRP, or other non-metal substrates without metal reinforcement shall not be permitted.</w:t>
      </w:r>
    </w:p>
    <w:p>
      <w:pPr>
        <w:spacing w:after="80" w:before="180"/>
        <w:ind w:left="0"/>
      </w:pPr>
      <w:r>
        <w:rPr>
          <w:rFonts w:ascii="Helvetica" w:cs="Helvetica" w:eastAsia="Helvetica" w:hAnsi="Helvetica"/>
          <w:b/>
          <w:bCs/>
          <w:i w:val="false"/>
          <w:iCs w:val="false"/>
          <w:color w:val="00447C"/>
          <w:sz w:val="22"/>
          <w:szCs w:val="22"/>
        </w:rPr>
        <w:t xml:space="preserve">D. AIR, WATER, AND VAPOR RESISTANCE (Performance Requirement 4)</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Air Infiltration Resistance: Fenestration support framing system shall be independently tested and shall have passed air infiltration testing at a minimum pressure differential of 50 psf (2,394 Pa) per ASTM E2357.</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The basis-of-design product has been tested and passed at 100 psf, providing a 2× safety margin above the specified minimum. For coastal, hurricane-zone, critical facility, or Passive House projects, the Specifier may increase the stated minimum to 75 psf or 100 psf.</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Air leakage rate of the fenestration framing assembly shall not exceed 0.04 cfm/ft² (0.2 L/s·m²) at 75 Pa when tested in accordance with ASTM E2357.</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The fenestration framing system shall maintain air barrier continuity at the window-to-wall interface without requiring surface-applied liquid flashing, membrane tape, or vapor-retarding coatings on the framing member faces.</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CMH composite material is inherently non-porous and dimensionally stable. The framing material itself functions as the air barrier at the fenestration perimeter. Sealing is required only at CMH-to-CMH corner joints, not on member faces.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Water Penetration Resistance: Fenestration support framing system shall be independently tested and shall have passed water penetration testing at a minimum pressure differential of 50 psf (2,394 Pa) per ASTM E331. No water penetration shall be observed on the interior face of the framing assembly during the 15-minute test duration.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5.</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The framing material shall be inherently non-porous and non-absorptive. Materials that absorb moisture, swell, or change dimension when exposed to water are not acceptable. Maximum water absorption: 0.5%.</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This requirement eliminates wood bucks and certain foam products that absorb moisture over time. CMH composite does not absorb water and does not change dimension under moisture exposure.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6.</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Systems tested at lower pressure differentials (12 psf, 20 psf, or 25 psf) do not meet this specification. Test reports shall be from an independent, accredited, third-party testing laboratory. Manufacturer-performed testing is not acceptable.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7.</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Integration with Air Barrier: System shall be compatible with and maintain continuity of building air barrier at fenestration perimeter. Vapor retarder strategy shall be per the project-specified wall assembly design and applicable code requirements per IBC Section 1405.3.</w:t>
      </w:r>
    </w:p>
    <w:p>
      <w:pPr>
        <w:spacing w:after="80" w:before="180"/>
        <w:ind w:left="0"/>
      </w:pPr>
      <w:r>
        <w:rPr>
          <w:rFonts w:ascii="Helvetica" w:cs="Helvetica" w:eastAsia="Helvetica" w:hAnsi="Helvetica"/>
          <w:b/>
          <w:bCs/>
          <w:i w:val="false"/>
          <w:iCs w:val="false"/>
          <w:color w:val="00447C"/>
          <w:sz w:val="22"/>
          <w:szCs w:val="22"/>
        </w:rPr>
        <w:t xml:space="preserve">E. FIRE SAFETY (Performance Requirement 5)</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Non-Combustible Dead Load Support: Structural members supporting fenestration dead loads shall be non-combustible as defined by IBC Section 202. Metal components shall be used for primary load-bearing elements.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Surface Burning Characteristics: Components shall be tested in accordance with ASTM E84 with:</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Flame Spread Index (FSI): 25 or less</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Smoke Developed Index (SDI): 450 or less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NFPA 285 Compliance: Where required by IBC Section 1403.5 for wall assemblies, system shall have been tested as part of a compliant NFPA 285 assembly, or manufacturer shall demonstrate component compliance through letter of equivalency from fire protection engineer.</w:t>
      </w:r>
    </w:p>
    <w:p>
      <w:pPr>
        <w:spacing w:after="80" w:before="180"/>
        <w:ind w:left="0"/>
      </w:pPr>
      <w:r>
        <w:rPr>
          <w:rFonts w:ascii="Helvetica" w:cs="Helvetica" w:eastAsia="Helvetica" w:hAnsi="Helvetica"/>
          <w:b/>
          <w:bCs/>
          <w:i w:val="false"/>
          <w:iCs w:val="false"/>
          <w:color w:val="00447C"/>
          <w:sz w:val="22"/>
          <w:szCs w:val="22"/>
        </w:rPr>
        <w:t xml:space="preserve">F. SINGLE-SOURCE MODULAR INTERFACE SYSTEM (Performance Requirement 6)</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Structural thermal framing shall include manufacturer-engineered modular aluminum interface flanges integrated with the structural framing members via factory-designed keyway connection, providing structural load distribution, metal fastener-receiving substrate, weather seal surface, and modular configurability across opening types.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All system components — structural framing, interface flanges, attachment clips, and accessories — shall be provided by a single manufacturer under a single warranty.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System shall be compatible with manufacturer's continuous insulation sub-framing system to maintain thermal continuity at field-of-wall to fenestration transition.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Systems relying on field-applied solutions for structural reinforcement, fastener receiving, or weather seal substrate at the framing-to-fenestration interface shall not be considered compliant.</w:t>
      </w:r>
    </w:p>
    <w:p>
      <w:pPr>
        <w:spacing w:after="80" w:before="180"/>
        <w:ind w:left="0"/>
      </w:pPr>
      <w:r>
        <w:rPr>
          <w:rFonts w:ascii="Helvetica" w:cs="Helvetica" w:eastAsia="Helvetica" w:hAnsi="Helvetica"/>
          <w:b/>
          <w:bCs/>
          <w:i w:val="false"/>
          <w:iCs w:val="false"/>
          <w:color w:val="00447C"/>
          <w:sz w:val="22"/>
          <w:szCs w:val="22"/>
        </w:rPr>
        <w:t xml:space="preserve">G. CERTIFIED ASSEMBLY THERMAL PERFORMANCE (Performance Requirement 7)</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This requirement ensures the complete fenestration support assembly — not just individual materials — is thermally certified as an integrated system by an independent third party. It addresses thermal flanking, bracket point thermal bridges, and assembly boundary completeness that are not captured by material-level Psi values alone.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Assembly Boundary Definition: The certified thermal analysis shall include all components within the thermal and structural load path of the fenestration support assembly, including framing members; structural support components (brackets, clips, fasteners); thermal interface elements (washers, spacers, gaskets, sealants); flashing and moisture management components; all fastener penetrations bridging the CI plane; and supplemental insulation within and adjacent to the assembly.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Assembly Thermal Efficiency: The complete fenestration support assembly shall achieve a minimum Assembly Thermal Efficiency of 93% relative to the clear-field CI R-value, calculated as:</w:t>
      </w:r>
    </w:p>
    <w:p>
      <w:pPr>
        <w:spacing w:after="60" w:before="40"/>
        <w:ind w:left="1080"/>
      </w:pPr>
      <w:r>
        <w:rPr>
          <w:rFonts w:ascii="Helvetica" w:cs="Helvetica" w:eastAsia="Helvetica" w:hAnsi="Helvetica"/>
          <w:b w:val="false"/>
          <w:bCs w:val="false"/>
          <w:i w:val="false"/>
          <w:iCs w:val="false"/>
          <w:color w:val="333333"/>
          <w:sz w:val="18"/>
          <w:szCs w:val="18"/>
        </w:rPr>
        <w:t xml:space="preserve">Assembly Thermal Efficiency (%) = (1 − (Assembly ΔU / Clear-Field U-value)) × 100</w:t>
      </w:r>
    </w:p>
    <w:p>
      <w:pPr>
        <w:spacing w:after="60" w:before="40"/>
        <w:ind w:left="1080"/>
      </w:pPr>
      <w:r>
        <w:rPr>
          <w:rFonts w:ascii="Helvetica" w:cs="Helvetica" w:eastAsia="Helvetica" w:hAnsi="Helvetica"/>
          <w:b w:val="false"/>
          <w:bCs w:val="false"/>
          <w:i w:val="false"/>
          <w:iCs w:val="false"/>
          <w:color w:val="333333"/>
          <w:sz w:val="18"/>
          <w:szCs w:val="18"/>
        </w:rPr>
        <w:t xml:space="preserve">Where Assembly ΔU is the increase in U-value caused by the fenestration support assembly compared to the uninterrupted CI clear-field condition.</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Alternative Compliance Path:* In lieu of the Assembly Thermal Efficiency calculation, manufacturer may demonstrate compliance by meeting BOTH: (a) linear thermal transmittance meeting the threshold of Section 1.05.A.1 at sill, head, and jamb conditions per ISO 10211; and (b) point thermal transmittance chi (χ) ≤ 0.005 Btu/(hr·°F) [0.0087 W/K] per bracket/clip connection, calculated per ISO 10211 three-dimensional methodology.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Thermal Flanking Elimination: The assembly design shall eliminate heat transfer routes that bypass primary continuous insulation by conducting through adjacent structural members. The thermal simulation shall explicitly model backup wall framing in thermal contact with the assembly, bracket-to-structure fasteners bridging the CI plane, supplemental framing or blocking within the assembly zone, and convective bypass through unfilled cavities. The simulation boundary shall extend a minimum of 12 inches beyond the assembly in all directions. Systems modeled in isolation shall not be considered compliant.</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Third-Party Certification Requirements: Assembly thermal performance shall be certified by an independent thermal modeling consultant (not manufacturer in-house) using ISO 10211 methodology — 2D for linear conditions, 3D for point thermal bridges. The certification report shall be project-specific (actual CI depth, fenestration depth, backup framing type, and bracket spacing) and shall include:</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Complete assembly description per Item 1</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Material thermal conductivity values with published sources</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Boundary conditions used in the simulation</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Isothermal plots and/or thermal flux diagrams</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e.</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Psi values at sill, head, and jamb</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f.</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Chi values at each bracket/clip type</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g.</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Assembly Thermal Efficiency calculation (or alternative compliance demonstration per Item 2)</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h.</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Thermal flanking path identification and mitigation</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i.</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ISO 10211 compliance statement</w:t>
      </w:r>
    </w:p>
    <w:p>
      <w:pPr>
        <w:tabs>
          <w:tab w:val="left" w:pos="1620"/>
        </w:tabs>
        <w:spacing w:after="40" w:before="40"/>
        <w:ind w:left="1620" w:hanging="540"/>
      </w:pPr>
      <w:r>
        <w:rPr>
          <w:rFonts w:ascii="Helvetica" w:cs="Helvetica" w:eastAsia="Helvetica" w:hAnsi="Helvetica"/>
          <w:b/>
          <w:bCs/>
          <w:i w:val="false"/>
          <w:iCs w:val="false"/>
          <w:color w:val="333333"/>
          <w:sz w:val="18"/>
          <w:szCs w:val="18"/>
        </w:rPr>
        <w:t xml:space="preserve">j.</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Approval and stamp by a Professional Engineer (PE) licensed in the project state on the thermal performance report.</w:t>
      </w:r>
    </w:p>
    <w:p>
      <w:pPr>
        <w:spacing w:after="100" w:before="240"/>
      </w:pPr>
      <w:r>
        <w:rPr>
          <w:rFonts w:ascii="Helvetica" w:cs="Helvetica" w:eastAsia="Helvetica" w:hAnsi="Helvetica"/>
          <w:b/>
          <w:bCs/>
          <w:i w:val="false"/>
          <w:iCs w:val="false"/>
          <w:color w:val="00447C"/>
          <w:sz w:val="26"/>
          <w:szCs w:val="26"/>
        </w:rPr>
        <w:t xml:space="preserve">1.06 QUALITY ASSURANCE</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Manufacturer shall have minimum ten (10) years of experience producing structural thermal framing systems for commercial construction.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Manufacturer shall maintain in-house engineering staff or retain a Professional Engineer (PE) licensed in the project state for project-specific calculations.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Installer shall be factory-trained and certified by the manufacturer or manufacturer's authorized representative prior to installation.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Manufacturer shall provide field support for first installation on each project.</w:t>
      </w:r>
    </w:p>
    <w:p>
      <w:pPr>
        <w:spacing w:after="100" w:before="240"/>
      </w:pPr>
      <w:r>
        <w:rPr>
          <w:rFonts w:ascii="Helvetica" w:cs="Helvetica" w:eastAsia="Helvetica" w:hAnsi="Helvetica"/>
          <w:b/>
          <w:bCs/>
          <w:i w:val="false"/>
          <w:iCs w:val="false"/>
          <w:color w:val="00447C"/>
          <w:sz w:val="26"/>
          <w:szCs w:val="26"/>
        </w:rPr>
        <w:t xml:space="preserve">1.07 DELIVERY, STORAGE, AND HANDLING</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Deliver materials in manufacturer's original packaging with labels intact.</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Store materials in a dry, covered area. Protect from moisture, direct sunlight, and physical damage.</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Do not install damaged materials. Report damage to manufacturer immediately.</w:t>
      </w:r>
    </w:p>
    <w:p>
      <w:pPr>
        <w:spacing w:after="100" w:before="240"/>
      </w:pPr>
      <w:r>
        <w:rPr>
          <w:rFonts w:ascii="Helvetica" w:cs="Helvetica" w:eastAsia="Helvetica" w:hAnsi="Helvetica"/>
          <w:b/>
          <w:bCs/>
          <w:i w:val="false"/>
          <w:iCs w:val="false"/>
          <w:color w:val="00447C"/>
          <w:sz w:val="26"/>
          <w:szCs w:val="26"/>
        </w:rPr>
        <w:t xml:space="preserve">1.08 COORDINATION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Trade Scope Matrix: Refer to Appendix A for typical trade responsibilities when incorporating this product into bid packages. The matrix identifies scope items typically associated with the product installer and confirms that existing trade scopes are generally unchanged.</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Installer Coordination: The product installer is typically the same trade responsible for rough opening framing or a specialty subcontractor. Coordinate installation sequencing with air/water barrier, continuous insulation, and glazing trades.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AWB Coordination: The framing material is inherently non-porous and does not require surface sealing. AWB integration occurs at the flange-to-membrane interface only, not on framing member faces. Coordinate AWB tie-in methodology with AWB contractor and AWB manufacturer.</w:t>
      </w:r>
    </w:p>
    <w:p>
      <w:pPr>
        <w:pageBreakBefore/>
        <w:pBdr>
          <w:bottom w:val="single" w:color="00447C" w:sz="8" w:space="6"/>
        </w:pBdr>
        <w:spacing w:after="200" w:before="0"/>
        <w:jc w:val="center"/>
      </w:pPr>
      <w:r>
        <w:br/>
      </w:r>
      <w:r>
        <w:rPr>
          <w:rFonts w:ascii="Helvetica" w:cs="Helvetica" w:eastAsia="Helvetica" w:hAnsi="Helvetica"/>
          <w:b/>
          <w:bCs/>
          <w:i w:val="false"/>
          <w:iCs w:val="false"/>
          <w:color w:val="00447C"/>
          <w:sz w:val="32"/>
          <w:szCs w:val="32"/>
        </w:rPr>
        <w:t xml:space="preserve">PART 2: PRODUCTS</w:t>
      </w:r>
    </w:p>
    <w:p>
      <w:pPr>
        <w:spacing w:after="100" w:before="240"/>
      </w:pPr>
      <w:r>
        <w:rPr>
          <w:rFonts w:ascii="Helvetica" w:cs="Helvetica" w:eastAsia="Helvetica" w:hAnsi="Helvetica"/>
          <w:b/>
          <w:bCs/>
          <w:i w:val="false"/>
          <w:iCs w:val="false"/>
          <w:color w:val="00447C"/>
          <w:sz w:val="26"/>
          <w:szCs w:val="26"/>
        </w:rPr>
        <w:t xml:space="preserve">2.01 MANUFACTURER</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Basis of Design: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Advanced Architectural Products (A2P), manufacturer of a portfolio of continuous insulation and building enclosure systems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959 Industrial Drive, Allegan, Michigan 49010</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Phone: (269) 355-1818</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Website: www.GreenGirt.com</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Product: GreenGirt XO™ Structural Thermal Framing System</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Substitutions: Requests for substitution shall be submitted in accordance with Section 01 60 00 and shall demonstrate compliance with ALL seven (7) performance requirements in Section 1.05. Partial compliance is not acceptable.</w:t>
      </w:r>
    </w:p>
    <w:p>
      <w:pPr>
        <w:spacing w:after="100" w:before="240"/>
      </w:pPr>
      <w:r>
        <w:rPr>
          <w:rFonts w:ascii="Helvetica" w:cs="Helvetica" w:eastAsia="Helvetica" w:hAnsi="Helvetica"/>
          <w:b/>
          <w:bCs/>
          <w:i w:val="false"/>
          <w:iCs w:val="false"/>
          <w:color w:val="00447C"/>
          <w:sz w:val="26"/>
          <w:szCs w:val="26"/>
        </w:rPr>
        <w:t xml:space="preserve">2.02 SYSTEM COMPONENTS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CMH Framing Members: Composite metal hybrid structural framing members consisting of non-combustible metal flanges factory-formed to a high-strength, thermally-isolating FRP core. Custom lengths fabricated to project requirements.</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Select depth(s) required for project. Consult A2P engineering for project-specific recommendations.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Attachment Clips: Manufacturer-supplied clips for securing CMH framing members to building structure. Dead load clips designed for eccentric cantilever loading conditions. Available in aluminum and galvanized steel.</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Fasteners: Mechanical fasteners as specified by manufacturer for project substrate conditions (steel stud, wood framing, concrete, masonry).</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Modular Aluminum Interface Flanges: Manufacturer-supplied extruded aluminum flange inserts for header, jamb, and sill conditions, connecting to CMH framing members via factory-designed keyway channel. Available profiles include: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Mini flange insert (standard and spacer)</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Flange insert (standard and spacer)</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Header angle insert (standard and spacer)</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Spacer variants provide +½" depth adjustment.</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E.</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Self-Sealing Anchor Plates: Manufacturer-supplied anchor plates for CMH-to-structure connections.</w:t>
      </w:r>
    </w:p>
    <w:p>
      <w:pPr>
        <w:spacing w:after="100" w:before="240"/>
      </w:pPr>
      <w:r>
        <w:rPr>
          <w:rFonts w:ascii="Helvetica" w:cs="Helvetica" w:eastAsia="Helvetica" w:hAnsi="Helvetica"/>
          <w:b/>
          <w:bCs/>
          <w:i w:val="false"/>
          <w:iCs w:val="false"/>
          <w:color w:val="00447C"/>
          <w:sz w:val="26"/>
          <w:szCs w:val="26"/>
        </w:rPr>
        <w:t xml:space="preserve">2.03 PRODUCT DATA</w:t>
      </w:r>
    </w:p>
    <w:p>
      <w:pPr>
        <w:spacing w:after="80" w:before="180"/>
        <w:ind w:left="0"/>
      </w:pPr>
      <w:r>
        <w:rPr>
          <w:rFonts w:ascii="Helvetica" w:cs="Helvetica" w:eastAsia="Helvetica" w:hAnsi="Helvetica"/>
          <w:b/>
          <w:bCs/>
          <w:i w:val="false"/>
          <w:iCs w:val="false"/>
          <w:color w:val="00447C"/>
          <w:sz w:val="22"/>
          <w:szCs w:val="22"/>
        </w:rPr>
        <w:t xml:space="preserve">A. Available Depths</w:t>
      </w:r>
    </w:p>
    <w:p>
      <w:pPr>
        <w:spacing w:after="60" w:before="60"/>
      </w:pPr>
      <w:r>
        <w:rPr>
          <w:rFonts w:ascii="Helvetica" w:cs="Helvetica" w:eastAsia="Helvetica" w:hAnsi="Helvetica"/>
          <w:b w:val="false"/>
          <w:bCs w:val="false"/>
          <w:i w:val="false"/>
          <w:iCs w:val="false"/>
          <w:color w:val="333333"/>
          <w:sz w:val="18"/>
          <w:szCs w:val="18"/>
        </w:rPr>
        <w:t xml:space="preserve">2", 3", 4", 5", 6"</w:t>
      </w:r>
    </w:p>
    <w:p>
      <w:pPr>
        <w:spacing w:after="80" w:before="180"/>
        <w:ind w:left="0"/>
      </w:pPr>
      <w:r>
        <w:rPr>
          <w:rFonts w:ascii="Helvetica" w:cs="Helvetica" w:eastAsia="Helvetica" w:hAnsi="Helvetica"/>
          <w:b/>
          <w:bCs/>
          <w:i w:val="false"/>
          <w:iCs w:val="false"/>
          <w:color w:val="00447C"/>
          <w:sz w:val="22"/>
          <w:szCs w:val="22"/>
        </w:rPr>
        <w:t xml:space="preserve">B. GreenGirt XO System Material Properties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160"/>
        <w:gridCol w:w="3000"/>
      </w:tblGrid>
      <w:tr>
        <w:trPr>
          <w:tblHeader/>
        </w:trPr>
        <w:tc>
          <w:tcPr>
            <w:tcW w:type="dxa" w:w="3200"/>
            <w:tcBorders>
              <w:top w:val="single" w:color="999999" w:sz="1"/>
              <w:left w:val="single" w:color="999999" w:sz="1"/>
              <w:bottom w:val="single" w:color="999999" w:sz="1"/>
              <w:right w:val="single" w:color="999999" w:sz="1"/>
            </w:tcBorders>
            <w:shd w:fill="00447C" w:val="clear"/>
            <w:tcMar>
              <w:top w:type="dxa" w:w="60"/>
              <w:left w:type="dxa" w:w="100"/>
              <w:bottom w:type="dxa" w:w="60"/>
              <w:right w:type="dxa" w:w="100"/>
            </w:tcMar>
          </w:tcPr>
          <w:p>
            <w:pPr>
              <w:jc w:val="center"/>
            </w:pPr>
            <w:r>
              <w:rPr>
                <w:rFonts w:ascii="Helvetica" w:cs="Helvetica" w:eastAsia="Helvetica" w:hAnsi="Helvetica"/>
                <w:b/>
                <w:bCs/>
                <w:i w:val="false"/>
                <w:iCs w:val="false"/>
                <w:color w:val="FFFFFF"/>
                <w:sz w:val="18"/>
                <w:szCs w:val="18"/>
              </w:rPr>
              <w:t xml:space="preserve">Property</w:t>
            </w:r>
          </w:p>
        </w:tc>
        <w:tc>
          <w:tcPr>
            <w:tcW w:type="dxa" w:w="3160"/>
            <w:tcBorders>
              <w:top w:val="single" w:color="999999" w:sz="1"/>
              <w:left w:val="single" w:color="999999" w:sz="1"/>
              <w:bottom w:val="single" w:color="999999" w:sz="1"/>
              <w:right w:val="single" w:color="999999" w:sz="1"/>
            </w:tcBorders>
            <w:shd w:fill="00447C" w:val="clear"/>
            <w:tcMar>
              <w:top w:type="dxa" w:w="60"/>
              <w:left w:type="dxa" w:w="100"/>
              <w:bottom w:type="dxa" w:w="60"/>
              <w:right w:type="dxa" w:w="100"/>
            </w:tcMar>
          </w:tcPr>
          <w:p>
            <w:pPr>
              <w:jc w:val="center"/>
            </w:pPr>
            <w:r>
              <w:rPr>
                <w:rFonts w:ascii="Helvetica" w:cs="Helvetica" w:eastAsia="Helvetica" w:hAnsi="Helvetica"/>
                <w:b/>
                <w:bCs/>
                <w:i w:val="false"/>
                <w:iCs w:val="false"/>
                <w:color w:val="FFFFFF"/>
                <w:sz w:val="18"/>
                <w:szCs w:val="18"/>
              </w:rPr>
              <w:t xml:space="preserve">Minimum Value</w:t>
            </w:r>
          </w:p>
        </w:tc>
        <w:tc>
          <w:tcPr>
            <w:tcW w:type="dxa" w:w="3000"/>
            <w:tcBorders>
              <w:top w:val="single" w:color="999999" w:sz="1"/>
              <w:left w:val="single" w:color="999999" w:sz="1"/>
              <w:bottom w:val="single" w:color="999999" w:sz="1"/>
              <w:right w:val="single" w:color="999999" w:sz="1"/>
            </w:tcBorders>
            <w:shd w:fill="00447C" w:val="clear"/>
            <w:tcMar>
              <w:top w:type="dxa" w:w="60"/>
              <w:left w:type="dxa" w:w="100"/>
              <w:bottom w:type="dxa" w:w="60"/>
              <w:right w:type="dxa" w:w="100"/>
            </w:tcMar>
          </w:tcPr>
          <w:p>
            <w:pPr>
              <w:jc w:val="center"/>
            </w:pPr>
            <w:r>
              <w:rPr>
                <w:rFonts w:ascii="Helvetica" w:cs="Helvetica" w:eastAsia="Helvetica" w:hAnsi="Helvetica"/>
                <w:b/>
                <w:bCs/>
                <w:i w:val="false"/>
                <w:iCs w:val="false"/>
                <w:color w:val="FFFFFF"/>
                <w:sz w:val="18"/>
                <w:szCs w:val="18"/>
              </w:rPr>
              <w:t xml:space="preserve">Test Method</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Modulus of Elasticity (Lengthwise)</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 10,000,000 psi</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ASTM E111 or equivalent</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Modulus of Elasticity (Crosswise)</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 10,000,000 psi</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ASTM E111 or equivalent</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Tensile Strength (Lengthwise)</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 25,000 psi</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ASTM B557 or equivalent</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Tensile Strength (Crosswise)</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 25,000 psi</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ASTM B557 or equivalent</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Flexural Strength (Lengthwise)</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 22,000 psi</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ASTM E290 or equivalent</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Flexural Strength (Crosswise)</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 22,000 psi</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ASTM E290 or equivalent</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Fastener Pull-Out</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 16 ga steel equivalent</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ASTM D7332</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Water Absorption</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 0.5%</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ASTM D570</w:t>
            </w:r>
          </w:p>
        </w:tc>
      </w:tr>
    </w:tbl>
    <w:p>
      <w:pPr>
        <w:spacing w:after="40" w:before="40"/>
      </w:pPr>
      <w:r>
        <w:rPr>
          <w:rFonts w:ascii="Helvetica" w:cs="Helvetica" w:eastAsia="Helvetica" w:hAnsi="Helvetica"/>
          <w:b w:val="false"/>
          <w:bCs w:val="false"/>
          <w:i w:val="false"/>
          <w:iCs w:val="false"/>
          <w:color w:val="333333"/>
          <w:sz w:val="18"/>
          <w:szCs w:val="18"/>
        </w:rPr>
        <w:t xml:space="preserve"/>
      </w:r>
    </w:p>
    <w:p>
      <w:pPr>
        <w:spacing w:after="80" w:before="180"/>
        <w:ind w:left="0"/>
      </w:pPr>
      <w:r>
        <w:rPr>
          <w:rFonts w:ascii="Helvetica" w:cs="Helvetica" w:eastAsia="Helvetica" w:hAnsi="Helvetica"/>
          <w:b/>
          <w:bCs/>
          <w:i w:val="false"/>
          <w:iCs w:val="false"/>
          <w:color w:val="00447C"/>
          <w:sz w:val="22"/>
          <w:szCs w:val="22"/>
        </w:rPr>
        <w:t xml:space="preserve">C. Metal Flange</w:t>
      </w:r>
    </w:p>
    <w:p>
      <w:pPr>
        <w:spacing w:after="60" w:before="60"/>
      </w:pPr>
      <w:r>
        <w:rPr>
          <w:rFonts w:ascii="Helvetica" w:cs="Helvetica" w:eastAsia="Helvetica" w:hAnsi="Helvetica"/>
          <w:b w:val="false"/>
          <w:bCs w:val="false"/>
          <w:i w:val="false"/>
          <w:iCs w:val="false"/>
          <w:color w:val="333333"/>
          <w:sz w:val="18"/>
          <w:szCs w:val="18"/>
        </w:rPr>
        <w:t xml:space="preserve">Aluminum extrusion per ASTM B221, meeting minimum properties of 6063-T5 (or equivalent extrusion grade): Modulus of Elasticity 10,000,000 psi minimum, tensile yield strength 25,000 psi minimum.</w:t>
      </w:r>
    </w:p>
    <w:p>
      <w:pPr>
        <w:spacing w:after="80" w:before="180"/>
        <w:ind w:left="0"/>
      </w:pPr>
      <w:r>
        <w:rPr>
          <w:rFonts w:ascii="Helvetica" w:cs="Helvetica" w:eastAsia="Helvetica" w:hAnsi="Helvetica"/>
          <w:b/>
          <w:bCs/>
          <w:i w:val="false"/>
          <w:iCs w:val="false"/>
          <w:color w:val="00447C"/>
          <w:sz w:val="22"/>
          <w:szCs w:val="22"/>
        </w:rPr>
        <w:t xml:space="preserve">D. Thermal Performance by Depth</w:t>
      </w:r>
    </w:p>
    <w:p>
      <w:pPr>
        <w:spacing w:after="60" w:before="60"/>
      </w:pPr>
      <w:r>
        <w:rPr>
          <w:rFonts w:ascii="Helvetica" w:cs="Helvetica" w:eastAsia="Helvetica" w:hAnsi="Helvetica"/>
          <w:b w:val="false"/>
          <w:bCs w:val="false"/>
          <w:i/>
          <w:iCs/>
          <w:color w:val="666666"/>
          <w:sz w:val="18"/>
          <w:szCs w:val="18"/>
        </w:rPr>
        <w:t xml:space="preserve">Data source: RDH Building Science thermal simulations per ISO 10211. Wall assembly context: steel-stud backup framing with exterior continuous insulation, aluminum-framed fenestration. Psi values reflect the complete fenestration support assembly in this wall context per Section 1.05.A.6. Project-specific simulations available for alternate wall configurations — contact A2P engineering.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160"/>
        <w:gridCol w:w="3000"/>
      </w:tblGrid>
      <w:tr>
        <w:trPr>
          <w:tblHeader/>
        </w:trPr>
        <w:tc>
          <w:tcPr>
            <w:tcW w:type="dxa" w:w="3200"/>
            <w:tcBorders>
              <w:top w:val="single" w:color="999999" w:sz="1"/>
              <w:left w:val="single" w:color="999999" w:sz="1"/>
              <w:bottom w:val="single" w:color="999999" w:sz="1"/>
              <w:right w:val="single" w:color="999999" w:sz="1"/>
            </w:tcBorders>
            <w:shd w:fill="00447C" w:val="clear"/>
            <w:tcMar>
              <w:top w:type="dxa" w:w="60"/>
              <w:left w:type="dxa" w:w="100"/>
              <w:bottom w:type="dxa" w:w="60"/>
              <w:right w:type="dxa" w:w="100"/>
            </w:tcMar>
          </w:tcPr>
          <w:p>
            <w:pPr>
              <w:jc w:val="center"/>
            </w:pPr>
            <w:r>
              <w:rPr>
                <w:rFonts w:ascii="Helvetica" w:cs="Helvetica" w:eastAsia="Helvetica" w:hAnsi="Helvetica"/>
                <w:b/>
                <w:bCs/>
                <w:i w:val="false"/>
                <w:iCs w:val="false"/>
                <w:color w:val="FFFFFF"/>
                <w:sz w:val="18"/>
                <w:szCs w:val="18"/>
              </w:rPr>
              <w:t xml:space="preserve">GreenGirt XO Depth</w:t>
            </w:r>
          </w:p>
        </w:tc>
        <w:tc>
          <w:tcPr>
            <w:tcW w:type="dxa" w:w="3160"/>
            <w:tcBorders>
              <w:top w:val="single" w:color="999999" w:sz="1"/>
              <w:left w:val="single" w:color="999999" w:sz="1"/>
              <w:bottom w:val="single" w:color="999999" w:sz="1"/>
              <w:right w:val="single" w:color="999999" w:sz="1"/>
            </w:tcBorders>
            <w:shd w:fill="00447C" w:val="clear"/>
            <w:tcMar>
              <w:top w:type="dxa" w:w="60"/>
              <w:left w:type="dxa" w:w="100"/>
              <w:bottom w:type="dxa" w:w="60"/>
              <w:right w:type="dxa" w:w="100"/>
            </w:tcMar>
          </w:tcPr>
          <w:p>
            <w:pPr>
              <w:jc w:val="center"/>
            </w:pPr>
            <w:r>
              <w:rPr>
                <w:rFonts w:ascii="Helvetica" w:cs="Helvetica" w:eastAsia="Helvetica" w:hAnsi="Helvetica"/>
                <w:b/>
                <w:bCs/>
                <w:i w:val="false"/>
                <w:iCs w:val="false"/>
                <w:color w:val="FFFFFF"/>
                <w:sz w:val="18"/>
                <w:szCs w:val="18"/>
              </w:rPr>
              <w:t xml:space="preserve">Psi (Btu/hr·ft·°F)</w:t>
            </w:r>
          </w:p>
        </w:tc>
        <w:tc>
          <w:tcPr>
            <w:tcW w:type="dxa" w:w="3000"/>
            <w:tcBorders>
              <w:top w:val="single" w:color="999999" w:sz="1"/>
              <w:left w:val="single" w:color="999999" w:sz="1"/>
              <w:bottom w:val="single" w:color="999999" w:sz="1"/>
              <w:right w:val="single" w:color="999999" w:sz="1"/>
            </w:tcBorders>
            <w:shd w:fill="00447C" w:val="clear"/>
            <w:tcMar>
              <w:top w:type="dxa" w:w="60"/>
              <w:left w:type="dxa" w:w="100"/>
              <w:bottom w:type="dxa" w:w="60"/>
              <w:right w:type="dxa" w:w="100"/>
            </w:tcMar>
          </w:tcPr>
          <w:p>
            <w:pPr>
              <w:jc w:val="center"/>
            </w:pPr>
            <w:r>
              <w:rPr>
                <w:rFonts w:ascii="Helvetica" w:cs="Helvetica" w:eastAsia="Helvetica" w:hAnsi="Helvetica"/>
                <w:b/>
                <w:bCs/>
                <w:i w:val="false"/>
                <w:iCs w:val="false"/>
                <w:color w:val="FFFFFF"/>
                <w:sz w:val="18"/>
                <w:szCs w:val="18"/>
              </w:rPr>
              <w:t xml:space="preserve">Psi (W/(m·K))</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2"</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0.0248</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0.043</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3"</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0.0228</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0.039</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4"</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0.0208</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0.036</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5"</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0.0211</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0.037</w:t>
            </w:r>
          </w:p>
        </w:tc>
      </w:tr>
      <w:tr>
        <w:tc>
          <w:tcPr>
            <w:tcW w:type="dxa" w:w="32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6"</w:t>
            </w:r>
          </w:p>
        </w:tc>
        <w:tc>
          <w:tcPr>
            <w:tcW w:type="dxa" w:w="316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0.0214</w:t>
            </w:r>
          </w:p>
        </w:tc>
        <w:tc>
          <w:tcPr>
            <w:tcW w:type="dxa" w:w="3000"/>
            <w:tcBorders>
              <w:top w:val="single" w:color="999999" w:sz="1"/>
              <w:left w:val="single" w:color="999999" w:sz="1"/>
              <w:bottom w:val="single" w:color="999999" w:sz="1"/>
              <w:right w:val="single" w:color="999999" w:sz="1"/>
            </w:tcBorders>
            <w:tcMar>
              <w:top w:type="dxa" w:w="60"/>
              <w:left w:type="dxa" w:w="100"/>
              <w:bottom w:type="dxa" w:w="60"/>
              <w:right w:type="dxa" w:w="100"/>
            </w:tcMar>
          </w:tcPr>
          <w:p>
            <w:r>
              <w:rPr>
                <w:rFonts w:ascii="Helvetica" w:cs="Helvetica" w:eastAsia="Helvetica" w:hAnsi="Helvetica"/>
                <w:b w:val="false"/>
                <w:bCs w:val="false"/>
                <w:i w:val="false"/>
                <w:iCs w:val="false"/>
                <w:color w:val="333333"/>
                <w:sz w:val="18"/>
                <w:szCs w:val="18"/>
              </w:rPr>
              <w:t xml:space="preserve">0.037</w:t>
            </w:r>
          </w:p>
        </w:tc>
      </w:tr>
    </w:tbl>
    <w:p>
      <w:pPr>
        <w:spacing w:after="40" w:before="40"/>
      </w:pPr>
      <w:r>
        <w:rPr>
          <w:rFonts w:ascii="Helvetica" w:cs="Helvetica" w:eastAsia="Helvetica" w:hAnsi="Helvetica"/>
          <w:b w:val="false"/>
          <w:bCs w:val="false"/>
          <w:i w:val="false"/>
          <w:iCs w:val="false"/>
          <w:color w:val="333333"/>
          <w:sz w:val="18"/>
          <w:szCs w:val="18"/>
        </w:rPr>
        <w:t xml:space="preserve"/>
      </w:r>
    </w:p>
    <w:p>
      <w:pPr>
        <w:spacing w:after="80" w:before="180"/>
        <w:ind w:left="0"/>
      </w:pPr>
      <w:r>
        <w:rPr>
          <w:rFonts w:ascii="Helvetica" w:cs="Helvetica" w:eastAsia="Helvetica" w:hAnsi="Helvetica"/>
          <w:b/>
          <w:bCs/>
          <w:i w:val="false"/>
          <w:iCs w:val="false"/>
          <w:color w:val="00447C"/>
          <w:sz w:val="22"/>
          <w:szCs w:val="22"/>
        </w:rPr>
        <w:t xml:space="preserve">E. Structural Capacity</w:t>
      </w:r>
    </w:p>
    <w:p>
      <w:pPr>
        <w:spacing w:after="60" w:before="60"/>
      </w:pPr>
      <w:r>
        <w:rPr>
          <w:rFonts w:ascii="Helvetica" w:cs="Helvetica" w:eastAsia="Helvetica" w:hAnsi="Helvetica"/>
          <w:b w:val="false"/>
          <w:bCs w:val="false"/>
          <w:i w:val="false"/>
          <w:iCs w:val="false"/>
          <w:color w:val="333333"/>
          <w:sz w:val="18"/>
          <w:szCs w:val="18"/>
        </w:rPr>
        <w:t xml:space="preserve">Dead load capacity up to 300 plf at outer edge of framing member. Wind load resistance per ASCE 7 component and cladding requirements. PE-stamped calculations provided for project-specific conditions.</w:t>
      </w:r>
    </w:p>
    <w:p>
      <w:pPr>
        <w:spacing w:after="80" w:before="180"/>
        <w:ind w:left="0"/>
      </w:pPr>
      <w:r>
        <w:rPr>
          <w:rFonts w:ascii="Helvetica" w:cs="Helvetica" w:eastAsia="Helvetica" w:hAnsi="Helvetica"/>
          <w:b/>
          <w:bCs/>
          <w:i w:val="false"/>
          <w:iCs w:val="false"/>
          <w:color w:val="00447C"/>
          <w:sz w:val="22"/>
          <w:szCs w:val="22"/>
        </w:rPr>
        <w:t xml:space="preserve">F. Fire Performance</w:t>
      </w:r>
    </w:p>
    <w:p>
      <w:pPr>
        <w:spacing w:after="60" w:before="60"/>
      </w:pPr>
      <w:r>
        <w:rPr>
          <w:rFonts w:ascii="Helvetica" w:cs="Helvetica" w:eastAsia="Helvetica" w:hAnsi="Helvetica"/>
          <w:b w:val="false"/>
          <w:bCs w:val="false"/>
          <w:i w:val="false"/>
          <w:iCs w:val="false"/>
          <w:color w:val="333333"/>
          <w:sz w:val="18"/>
          <w:szCs w:val="18"/>
        </w:rPr>
        <w:t xml:space="preserve">Flame Spread Index (FSI): ≤ 25 (Class A) per ASTM E84. Smoke Developed Index (SDI): ≤ 450 per ASTM E84. NFPA 285 assembly tested.</w:t>
      </w:r>
    </w:p>
    <w:p>
      <w:pPr>
        <w:spacing w:after="80" w:before="180"/>
        <w:ind w:left="0"/>
      </w:pPr>
      <w:r>
        <w:rPr>
          <w:rFonts w:ascii="Helvetica" w:cs="Helvetica" w:eastAsia="Helvetica" w:hAnsi="Helvetica"/>
          <w:b/>
          <w:bCs/>
          <w:i w:val="false"/>
          <w:iCs w:val="false"/>
          <w:color w:val="00447C"/>
          <w:sz w:val="22"/>
          <w:szCs w:val="22"/>
        </w:rPr>
        <w:t xml:space="preserve">G. Air and Water Resistance</w:t>
      </w:r>
    </w:p>
    <w:p>
      <w:pPr>
        <w:spacing w:after="60" w:before="60"/>
      </w:pPr>
      <w:r>
        <w:rPr>
          <w:rFonts w:ascii="Helvetica" w:cs="Helvetica" w:eastAsia="Helvetica" w:hAnsi="Helvetica"/>
          <w:b w:val="false"/>
          <w:bCs w:val="false"/>
          <w:i w:val="false"/>
          <w:iCs w:val="false"/>
          <w:color w:val="333333"/>
          <w:sz w:val="18"/>
          <w:szCs w:val="18"/>
        </w:rPr>
        <w:t xml:space="preserve">Air infiltration tested and passed at 100 psf per ASTM E2357. Water penetration tested and passed at 100 psf per ASTM E331. CMH composite is inherently non-porous and non-absorptive; does not swell, warp, or change dimension under moisture exposure. No surface sealing of member faces required — sealing at CMH-to-CMH corner joints only.</w:t>
      </w:r>
    </w:p>
    <w:p>
      <w:pPr>
        <w:spacing w:after="80" w:before="180"/>
        <w:ind w:left="0"/>
      </w:pPr>
      <w:r>
        <w:rPr>
          <w:rFonts w:ascii="Helvetica" w:cs="Helvetica" w:eastAsia="Helvetica" w:hAnsi="Helvetica"/>
          <w:b/>
          <w:bCs/>
          <w:i w:val="false"/>
          <w:iCs w:val="false"/>
          <w:color w:val="00447C"/>
          <w:sz w:val="22"/>
          <w:szCs w:val="22"/>
        </w:rPr>
        <w:t xml:space="preserve">H. Assembly Thermal Performance (Performance Requirement 7)</w:t>
      </w:r>
    </w:p>
    <w:p>
      <w:pPr>
        <w:spacing w:after="60" w:before="60"/>
      </w:pPr>
      <w:r>
        <w:rPr>
          <w:rFonts w:ascii="Helvetica" w:cs="Helvetica" w:eastAsia="Helvetica" w:hAnsi="Helvetica"/>
          <w:b w:val="false"/>
          <w:bCs w:val="false"/>
          <w:i w:val="false"/>
          <w:iCs w:val="false"/>
          <w:color w:val="333333"/>
          <w:sz w:val="18"/>
          <w:szCs w:val="18"/>
        </w:rPr>
        <w:t xml:space="preserve">Assembly Thermal Efficiency: 93–97% across all depths (2"–6"). Chi-value at dead load brackets: ≤ 0.005 Btu/(hr·°F). Third-party certified by RDH Building Science per ISO 10211 methodology, including complete assembly boundary analysis, thermal flanking path identification, and isothermal documentation. Project-specific certification available for all configurations.</w:t>
      </w:r>
    </w:p>
    <w:p>
      <w:pPr>
        <w:spacing w:after="100" w:before="240"/>
      </w:pPr>
      <w:r>
        <w:rPr>
          <w:rFonts w:ascii="Helvetica" w:cs="Helvetica" w:eastAsia="Helvetica" w:hAnsi="Helvetica"/>
          <w:b/>
          <w:bCs/>
          <w:i w:val="false"/>
          <w:iCs w:val="false"/>
          <w:color w:val="00447C"/>
          <w:sz w:val="26"/>
          <w:szCs w:val="26"/>
        </w:rPr>
        <w:t xml:space="preserve">2.04 ACCESSORIES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Sealant: As recommended by manufacturer for CMH-to-CMH joint sealing.</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Shims: As required for plumb and level adjustment.</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Supplemental fasteners: As specified by PE calculations for project-specific conditions.</w:t>
      </w:r>
    </w:p>
    <w:p>
      <w:pPr>
        <w:spacing w:after="100" w:before="240"/>
      </w:pPr>
      <w:r>
        <w:rPr>
          <w:rFonts w:ascii="Helvetica" w:cs="Helvetica" w:eastAsia="Helvetica" w:hAnsi="Helvetica"/>
          <w:b/>
          <w:bCs/>
          <w:i w:val="false"/>
          <w:iCs w:val="false"/>
          <w:color w:val="00447C"/>
          <w:sz w:val="26"/>
          <w:szCs w:val="26"/>
        </w:rPr>
        <w:t xml:space="preserve">2.05 ALTERNATE SYSTEM: STAINLESS STEEL FENESTRATION FRAMING</w:t>
      </w:r>
    </w:p>
    <w:p>
      <w:pPr>
        <w:pBdr>
          <w:left w:val="single" w:color="7AB648" w:sz="6" w:space="8"/>
        </w:pBdr>
        <w:spacing w:after="80" w:before="80"/>
        <w:ind w:left="540" w:right="360"/>
      </w:pPr>
      <w:r>
        <w:rPr>
          <w:rFonts w:ascii="Helvetica" w:cs="Helvetica" w:eastAsia="Helvetica" w:hAnsi="Helvetica"/>
          <w:b w:val="false"/>
          <w:bCs w:val="false"/>
          <w:i/>
          <w:iCs/>
          <w:color w:val="666666"/>
          <w:sz w:val="18"/>
          <w:szCs w:val="18"/>
        </w:rPr>
        <w:t xml:space="preserve">SPECIFIER NOTE: This section provides a legitimate alternate system that meets all seven (7) performance requirements. Include in specification to demonstrate specification is open to compliant alternatives.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Material: AISI Type 316 stainless steel construction. Minimum gauge per PE-stamped calculations for project-specific loading conditions.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Thermal Performance: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Third-party thermal simulation demonstrating compliance with Performance Requirement 1 (Psi threshold) at all perimeter conditions (sill, head, and jamb).</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Simulation performed by a qualified thermal modeling consultant in accordance with ISO 10211 methodology.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Simulation shall include all steel framing members, fastener penetrations, and insulation interfaces.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Insulation: Spray foam cavity insulation required within stainless steel framing members.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R-6.5 per inch minimum.</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Minimum 6" depth around full perimeter (minimum 32" perimeter length).</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Single-Source Responsibility: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Contractor shall provide single-source responsibility for structural performance, thermal performance, and weather-tightness of the complete assembly.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Warranty shall cover all components including framing, insulation, interface components, and accessories for minimum five (5) years.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Split responsibility between subcontractors for different portions of the assembly is not acceptable.</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E.</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Air and Water Resistance: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Assembly shall meet the air infiltration and water penetration requirements of Performance Requirement 4.</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Testing at equivalent pressure differentials required.</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F.</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Engineering:</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PE-stamped calculations required for project-specific loading conditions.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Eccentric cantilever loading analysis required at all framing member connections.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Analysis shall account for thermal cycling effects on connections.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G.</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Certified Assembly Thermal Performance: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Assembly shall meet all requirements of Performance Requirement 7, including complete assembly boundary definition, Assembly Thermal Efficiency ≥ 93%, thermal flanking analysis, and independent third-party certification per ISO 10211.</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Chi-value at each bracket/connection shall meet the threshold specified in Performance Requirement 7.</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Project-specific certification required.</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H.</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Mockup and Testing:</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Prior to production fabrication, Contractor shall construct a full-scale mockup of one typical window condition.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Perform air infiltration testing per ASTM E2357 at 50 psf minimum pressure differential.</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Mockup shall be reviewed and approved by Architect before proceeding with production fabrication.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Cost of mockup construction and testing shall be borne by the Contractor.</w:t>
      </w:r>
    </w:p>
    <w:p>
      <w:pPr>
        <w:pageBreakBefore/>
        <w:pBdr>
          <w:bottom w:val="single" w:color="00447C" w:sz="8" w:space="6"/>
        </w:pBdr>
        <w:spacing w:after="200" w:before="0"/>
        <w:jc w:val="center"/>
      </w:pPr>
      <w:r>
        <w:br/>
      </w:r>
      <w:r>
        <w:rPr>
          <w:rFonts w:ascii="Helvetica" w:cs="Helvetica" w:eastAsia="Helvetica" w:hAnsi="Helvetica"/>
          <w:b/>
          <w:bCs/>
          <w:i w:val="false"/>
          <w:iCs w:val="false"/>
          <w:color w:val="00447C"/>
          <w:sz w:val="32"/>
          <w:szCs w:val="32"/>
        </w:rPr>
        <w:t xml:space="preserve">PART 3: EXECUTION</w:t>
      </w:r>
    </w:p>
    <w:p>
      <w:pPr>
        <w:spacing w:after="100" w:before="240"/>
      </w:pPr>
      <w:r>
        <w:rPr>
          <w:rFonts w:ascii="Helvetica" w:cs="Helvetica" w:eastAsia="Helvetica" w:hAnsi="Helvetica"/>
          <w:b/>
          <w:bCs/>
          <w:i w:val="false"/>
          <w:iCs w:val="false"/>
          <w:color w:val="00447C"/>
          <w:sz w:val="26"/>
          <w:szCs w:val="26"/>
        </w:rPr>
        <w:t xml:space="preserve">3.01 EXAMINATION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Verify rough opening framing is complete, plumb, square, and within tolerances specified in project documents.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Verify exterior sheathing is installed.</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Verify air/water barrier membrane is installed on the wall plane.</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Verify project-specific shop drawings and installation details are available on site.</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E.</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Do not proceed with installation until all examination items are satisfied. Report unsatisfactory conditions to the Architect.</w:t>
      </w:r>
    </w:p>
    <w:p>
      <w:pPr>
        <w:spacing w:after="100" w:before="240"/>
      </w:pPr>
      <w:r>
        <w:rPr>
          <w:rFonts w:ascii="Helvetica" w:cs="Helvetica" w:eastAsia="Helvetica" w:hAnsi="Helvetica"/>
          <w:b/>
          <w:bCs/>
          <w:i w:val="false"/>
          <w:iCs w:val="false"/>
          <w:color w:val="00447C"/>
          <w:sz w:val="26"/>
          <w:szCs w:val="26"/>
        </w:rPr>
        <w:t xml:space="preserve">3.02 INSTALLATION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General: Install in accordance with manufacturer's published installation instructions and approved shop drawings.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Typical Installation Sequence: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Install dead load clips per shop drawings.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Install aluminum interface flanges to CMH framing members via keyway connection (if not pre-assembled).</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Install sill member.</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4.</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Install jamb members.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5.</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Install header member per header detail in shop drawings.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6.</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Seal all CMH-to-CMH corner joints with manufacturer-specified sealant.</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Fasteners: Install fastener type, size, and spacing per project-specific shop drawings. Fastener requirements vary by substrate (steel stud, wood framing, concrete, masonry).</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Tolerances: Install framing members plumb, level, and within tolerances specified in shop drawings.</w:t>
      </w:r>
    </w:p>
    <w:p>
      <w:pPr>
        <w:spacing w:after="100" w:before="240"/>
      </w:pPr>
      <w:r>
        <w:rPr>
          <w:rFonts w:ascii="Helvetica" w:cs="Helvetica" w:eastAsia="Helvetica" w:hAnsi="Helvetica"/>
          <w:b/>
          <w:bCs/>
          <w:i w:val="false"/>
          <w:iCs w:val="false"/>
          <w:color w:val="00447C"/>
          <w:sz w:val="26"/>
          <w:szCs w:val="26"/>
        </w:rPr>
        <w:t xml:space="preserve">3.03 AIR/WATER BARRIER INTEGRATION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CMH framing material is inherently non-porous and airtight. AWB integration requirements apply at the interfaces between the CMH system and the adjacent AWB membrane — not to the CMH member faces themselves.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CMH-to-CMH Joint Sealing (GreenGirt XO Installer Scope):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Seal all CMH-to-CMH corner joints (sill-to-jamb, jamb-to-header) using manufacturer-specified sealant.</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Apply sealant to clean, dry CMH surfaces. Remove dust, debris, and standing water before application.</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Sealant shall form a continuous, unbroken bead at all corner joints.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AWB Membrane Tie-In (AWB Contractor Scope):</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After GreenGirt XO framing installation and joint sealing is complete, AWB contractor shall tie wall-plane AWB membrane into CMH flange surfaces to maintain air barrier continuity.</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AWB tie-in methods shall be per AWB manufacturer's published details for transition to non-porous substrates.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Sill Pan Integration: Where sill pan flashing is specified, install per fenestration framing manufacturer's published sill pan detail. Coordinate sill pan slope with window manufacturer's installation requirements.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E.</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Interior Perimeter Air Seal: After window installation, provide continuous air seal at interior perimeter where window frame meets CMH framing members.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F.</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Prohibited Practices:</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1.</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Do not apply liquid-applied flashing, membrane tape, or vapor-retarding coatings to the full face of CMH framing members. The material is non-porous and does not require surface sealing.</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2.</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Do not use solvent-based adhesives or sealants on CMH surfaces unless specifically approved by manufacturer.</w:t>
      </w:r>
    </w:p>
    <w:p>
      <w:pPr>
        <w:tabs>
          <w:tab w:val="left" w:pos="1080"/>
        </w:tabs>
        <w:spacing w:after="50" w:before="50"/>
        <w:ind w:left="1080" w:hanging="540"/>
      </w:pPr>
      <w:r>
        <w:rPr>
          <w:rFonts w:ascii="Helvetica" w:cs="Helvetica" w:eastAsia="Helvetica" w:hAnsi="Helvetica"/>
          <w:b/>
          <w:bCs/>
          <w:i w:val="false"/>
          <w:iCs w:val="false"/>
          <w:color w:val="333333"/>
          <w:sz w:val="18"/>
          <w:szCs w:val="18"/>
        </w:rPr>
        <w:t xml:space="preserve">3.</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Do not modify, cut, notch, or drill CMH framing members in the field without manufacturer approval.</w:t>
      </w:r>
    </w:p>
    <w:p>
      <w:pPr>
        <w:spacing w:after="100" w:before="240"/>
      </w:pPr>
      <w:r>
        <w:rPr>
          <w:rFonts w:ascii="Helvetica" w:cs="Helvetica" w:eastAsia="Helvetica" w:hAnsi="Helvetica"/>
          <w:b/>
          <w:bCs/>
          <w:i w:val="false"/>
          <w:iCs w:val="false"/>
          <w:color w:val="00447C"/>
          <w:sz w:val="26"/>
          <w:szCs w:val="26"/>
        </w:rPr>
        <w:t xml:space="preserve">3.04 COORDINATION WITH SUBSEQUENT TRADES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AWB contractor ties membrane into CMH flanges after framing installation.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Continuous insulation installs over and around CMH framing.</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Glazier mounts fenestration units to CMH framing members.</w:t>
      </w:r>
    </w:p>
    <w:p>
      <w:pPr>
        <w:spacing w:after="100" w:before="240"/>
      </w:pPr>
      <w:r>
        <w:rPr>
          <w:rFonts w:ascii="Helvetica" w:cs="Helvetica" w:eastAsia="Helvetica" w:hAnsi="Helvetica"/>
          <w:b/>
          <w:bCs/>
          <w:i w:val="false"/>
          <w:iCs w:val="false"/>
          <w:color w:val="00447C"/>
          <w:sz w:val="26"/>
          <w:szCs w:val="26"/>
        </w:rPr>
        <w:t xml:space="preserve">3.05 QUALITY CONTROL</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Inspect all CMH framing member connections for secure attachment.</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Verify all CMH-to-CMH corner joints are sealed with continuous, unbroken sealant bead.</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Verify framing members are plumb and level within specified tolerances.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Verify dead load clips are properly engaged and secured.</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E.</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Verify AWB membrane is properly tied into CMH flanges at all perimeter conditions.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F.</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Document installation with photographs for project record.</w:t>
      </w:r>
    </w:p>
    <w:p>
      <w:pPr>
        <w:spacing w:after="100" w:before="240"/>
      </w:pPr>
      <w:r>
        <w:rPr>
          <w:rFonts w:ascii="Helvetica" w:cs="Helvetica" w:eastAsia="Helvetica" w:hAnsi="Helvetica"/>
          <w:b/>
          <w:bCs/>
          <w:i w:val="false"/>
          <w:iCs w:val="false"/>
          <w:color w:val="00447C"/>
          <w:sz w:val="26"/>
          <w:szCs w:val="26"/>
        </w:rPr>
        <w:t xml:space="preserve">3.06 CLEANING AND PROTECTION</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A.</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Remove debris and excess sealant from installed framing members.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B.</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Protect installed framing from damage during subsequent construction activities.</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C.</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Do not load framing members with construction materials or equipment beyond design capacity.</w:t>
      </w:r>
    </w:p>
    <w:p>
      <w:pPr>
        <w:tabs>
          <w:tab w:val="left" w:pos="540"/>
        </w:tabs>
        <w:spacing w:after="60" w:before="60"/>
        <w:ind w:left="540" w:hanging="540"/>
      </w:pPr>
      <w:r>
        <w:rPr>
          <w:rFonts w:ascii="Helvetica" w:cs="Helvetica" w:eastAsia="Helvetica" w:hAnsi="Helvetica"/>
          <w:b/>
          <w:bCs/>
          <w:i w:val="false"/>
          <w:iCs w:val="false"/>
          <w:color w:val="333333"/>
          <w:sz w:val="18"/>
          <w:szCs w:val="18"/>
        </w:rPr>
        <w:t xml:space="preserve">D.</w:t>
      </w:r>
      <w:r>
        <w:rPr>
          <w:rFonts w:ascii="Helvetica" w:cs="Helvetica" w:eastAsia="Helvetica" w:hAnsi="Helvetica"/>
          <w:b w:val="false"/>
          <w:bCs w:val="false"/>
          <w:i w:val="false"/>
          <w:iCs w:val="false"/>
          <w:color w:val="333333"/>
          <w:sz w:val="18"/>
          <w:szCs w:val="18"/>
        </w:rPr>
        <w:t xml:space="preserve">	</w:t>
      </w:r>
      <w:r>
        <w:rPr>
          <w:rFonts w:ascii="Helvetica" w:cs="Helvetica" w:eastAsia="Helvetica" w:hAnsi="Helvetica"/>
          <w:b w:val="false"/>
          <w:bCs w:val="false"/>
          <w:i w:val="false"/>
          <w:iCs w:val="false"/>
          <w:color w:val="333333"/>
          <w:sz w:val="18"/>
          <w:szCs w:val="18"/>
        </w:rPr>
        <w:t xml:space="preserve">Repair or replace damaged framing members prior to fenestration installation.</w:t>
      </w:r>
    </w:p>
    <w:p>
      <w:pPr>
        <w:pBdr>
          <w:top w:val="single" w:color="00447C" w:sz="4" w:space="8"/>
          <w:bottom w:val="single" w:color="00447C" w:sz="4" w:space="8"/>
        </w:pBdr>
        <w:spacing w:after="200" w:before="200"/>
        <w:jc w:val="center"/>
      </w:pPr>
      <w:r>
        <w:rPr>
          <w:rFonts w:ascii="Helvetica" w:cs="Helvetica" w:eastAsia="Helvetica" w:hAnsi="Helvetica"/>
          <w:b/>
          <w:bCs/>
          <w:i/>
          <w:iCs/>
          <w:color w:val="00447C"/>
          <w:sz w:val="20"/>
          <w:szCs w:val="20"/>
        </w:rPr>
        <w:t xml:space="preserve">END OF SECTION 07 05 43.05</w:t>
      </w:r>
    </w:p>
    <w:p>
      <w:pPr>
        <w:spacing w:after="80" w:before="180"/>
        <w:ind w:left="0"/>
      </w:pPr>
      <w:r>
        <w:rPr>
          <w:rFonts w:ascii="Helvetica" w:cs="Helvetica" w:eastAsia="Helvetica" w:hAnsi="Helvetica"/>
          <w:b/>
          <w:bCs/>
          <w:i w:val="false"/>
          <w:iCs w:val="false"/>
          <w:color w:val="00447C"/>
          <w:sz w:val="22"/>
          <w:szCs w:val="22"/>
        </w:rPr>
        <w:t xml:space="preserve">APPENDIX A: TRADE SCOPE MATRIX</w:t>
      </w:r>
    </w:p>
    <w:p>
      <w:pPr>
        <w:spacing w:after="60" w:before="60"/>
      </w:pPr>
      <w:r>
        <w:rPr>
          <w:rFonts w:ascii="Helvetica" w:cs="Helvetica" w:eastAsia="Helvetica" w:hAnsi="Helvetica"/>
          <w:b w:val="false"/>
          <w:bCs w:val="false"/>
          <w:i/>
          <w:iCs/>
          <w:color w:val="666666"/>
          <w:sz w:val="18"/>
          <w:szCs w:val="18"/>
        </w:rPr>
        <w:t xml:space="preserve">See attached: A2P-O-XO-MTX01: Trade Scope Matrix</w:t>
      </w:r>
    </w:p>
    <w:p>
      <w:pPr>
        <w:spacing w:after="60" w:before="60"/>
      </w:pPr>
      <w:r>
        <w:rPr>
          <w:rFonts w:ascii="Helvetica" w:cs="Helvetica" w:eastAsia="Helvetica" w:hAnsi="Helvetica"/>
          <w:b w:val="false"/>
          <w:bCs w:val="false"/>
          <w:i w:val="false"/>
          <w:iCs w:val="false"/>
          <w:color w:val="333333"/>
          <w:sz w:val="18"/>
          <w:szCs w:val="18"/>
        </w:rPr>
        <w:t xml:space="preserve">This matrix identifies typical trade responsibilities when incorporating GreenGirt XO structural thermal framing into the project. It is provided as a coordination reference for bid package development. Actual scope assignments may vary by project and should be confirmed in bid documents.</w:t>
      </w:r>
    </w:p>
    <w:p>
      <w:pPr>
        <w:spacing w:after="60" w:before="60"/>
      </w:pPr>
      <w:r>
        <w:rPr>
          <w:rFonts w:ascii="Helvetica" w:cs="Helvetica" w:eastAsia="Helvetica" w:hAnsi="Helvetica"/>
          <w:b w:val="false"/>
          <w:bCs w:val="false"/>
          <w:i/>
          <w:iCs/>
          <w:color w:val="666666"/>
          <w:sz w:val="18"/>
          <w:szCs w:val="18"/>
        </w:rPr>
        <w:t xml:space="preserve">KEY TAKEAWAY: GreenGirt XO minimum product scope consists of 5 items: CMH framing members, interface flanges, attachment clips, fasteners, and sealant at CMH joints. All other trades typically continue their normal work. This is not a new trade — it is a new product in an existing workflow.</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1" w:space="4"/>
      </w:pBdr>
      <w:spacing w:after="40" w:before="0"/>
      <w:jc w:val="center"/>
    </w:pPr>
    <w:r>
      <w:rPr>
        <w:rFonts w:ascii="Helvetica" w:cs="Helvetica" w:eastAsia="Helvetica" w:hAnsi="Helvetica"/>
        <w:b w:val="false"/>
        <w:bCs w:val="false"/>
        <w:i w:val="false"/>
        <w:iCs w:val="false"/>
        <w:color w:val="999999"/>
        <w:sz w:val="14"/>
        <w:szCs w:val="14"/>
      </w:rPr>
      <w:t xml:space="preserve">A2P-E-XO-SPC01-v2.3  •  2026-05-21  •  Advanced Architectural Products  •  (269) 355-1818  •  www.GreenGirt.com</w:t>
    </w:r>
  </w:p>
  <w:p>
    <w:pPr>
      <w:spacing w:after="0" w:before="0"/>
      <w:jc w:val="center"/>
    </w:pPr>
    <w:r>
      <w:rPr>
        <w:rFonts w:ascii="Helvetica" w:cs="Helvetica" w:eastAsia="Helvetica" w:hAnsi="Helvetica"/>
        <w:b/>
        <w:bCs/>
        <w:i w:val="false"/>
        <w:iCs w:val="false"/>
        <w:color w:val="666666"/>
        <w:sz w:val="14"/>
        <w:szCs w:val="14"/>
      </w:rPr>
      <w:t xml:space="preserve">Page </w:t>
    </w:r>
    <w:r>
      <w:rPr>
        <w:rFonts w:ascii="Helvetica" w:cs="Helvetica" w:eastAsia="Helvetica" w:hAnsi="Helvetica"/>
        <w:b/>
        <w:bCs/>
        <w:color w:val="666666"/>
        <w:sz w:val="14"/>
        <w:szCs w:val="14"/>
      </w:rPr>
      <w:fldChar w:fldCharType="begin"/>
      <w:instrText xml:space="preserve">PAGE</w:instrText>
      <w:fldChar w:fldCharType="separate"/>
      <w:fldChar w:fldCharType="end"/>
    </w:r>
    <w:r>
      <w:rPr>
        <w:rFonts w:ascii="Helvetica" w:cs="Helvetica" w:eastAsia="Helvetica" w:hAnsi="Helvetica"/>
        <w:b/>
        <w:bCs/>
        <w:i w:val="false"/>
        <w:iCs w:val="false"/>
        <w:color w:val="666666"/>
        <w:sz w:val="14"/>
        <w:szCs w:val="14"/>
      </w:rPr>
      <w:t xml:space="preserve"> of </w:t>
    </w:r>
    <w:r>
      <w:rPr>
        <w:rFonts w:ascii="Helvetica" w:cs="Helvetica" w:eastAsia="Helvetica" w:hAnsi="Helvetica"/>
        <w:b/>
        <w:bCs/>
        <w:color w:val="666666"/>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447C" w:sz="2" w:space="4"/>
      </w:pBdr>
    </w:pPr>
    <w:r>
      <w:rPr>
        <w:rFonts w:ascii="Helvetica" w:cs="Helvetica" w:eastAsia="Helvetica" w:hAnsi="Helvetica"/>
        <w:b/>
        <w:bCs/>
        <w:i w:val="false"/>
        <w:iCs w:val="false"/>
        <w:color w:val="00447C"/>
        <w:sz w:val="16"/>
        <w:szCs w:val="16"/>
      </w:rPr>
      <w:t xml:space="preserve">SECTION 07 05 43.05  |  STRUCTURAL THERMAL FRAMING FOR WINDOWS AND OPENINGS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Helvetica" w:cs="Helvetica" w:eastAsia="Helvetica" w:hAnsi="Helvetica"/>
        <w:color w:val="333333"/>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2026-05-21T21:16:18.347Z</dcterms:created>
  <dcterms:modified xsi:type="dcterms:W3CDTF">2026-05-21T21:16:18.368Z</dcterms:modified>
</cp:coreProperties>
</file>

<file path=docProps/custom.xml><?xml version="1.0" encoding="utf-8"?>
<Properties xmlns="http://schemas.openxmlformats.org/officeDocument/2006/custom-properties" xmlns:vt="http://schemas.openxmlformats.org/officeDocument/2006/docPropsVTypes"/>
</file>