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47A4" w14:textId="77777777" w:rsidR="00EE1A9C" w:rsidRDefault="00E10687">
      <w:pPr>
        <w:spacing w:after="60"/>
        <w:jc w:val="center"/>
      </w:pPr>
      <w:r>
        <w:rPr>
          <w:b/>
          <w:bCs/>
          <w:color w:val="00447C"/>
          <w:sz w:val="36"/>
          <w:szCs w:val="36"/>
        </w:rPr>
        <w:t>SECTION 07 05 43.05</w:t>
      </w:r>
    </w:p>
    <w:p w14:paraId="52873D36" w14:textId="77777777" w:rsidR="00EE1A9C" w:rsidRDefault="00E10687">
      <w:pPr>
        <w:jc w:val="center"/>
      </w:pPr>
      <w:r>
        <w:rPr>
          <w:b/>
          <w:bCs/>
          <w:color w:val="00447C"/>
          <w:sz w:val="28"/>
          <w:szCs w:val="28"/>
        </w:rPr>
        <w:t>STRUCTURAL THERMAL FRAMING FOR WINDOWS AND OPENINGS</w:t>
      </w:r>
    </w:p>
    <w:p w14:paraId="29442A45" w14:textId="77777777" w:rsidR="00EE1A9C" w:rsidRDefault="00E10687">
      <w:pPr>
        <w:spacing w:before="60" w:after="60"/>
      </w:pPr>
      <w:r>
        <w:rPr>
          <w:i/>
          <w:iCs/>
          <w:color w:val="666666"/>
        </w:rPr>
        <w:t>GreenGirt XO™ Composite Metal Hybrid Fenestration Support System — Specification Short Form</w:t>
      </w:r>
    </w:p>
    <w:p w14:paraId="371650E4" w14:textId="77777777" w:rsidR="00EE1A9C" w:rsidRDefault="00E10687">
      <w:pPr>
        <w:spacing w:before="180"/>
      </w:pPr>
      <w:r>
        <w:rPr>
          <w:b/>
          <w:bCs/>
          <w:color w:val="00447C"/>
          <w:sz w:val="22"/>
          <w:szCs w:val="22"/>
        </w:rPr>
        <w:t>Document: A2P-E-XO-SPC02-v2.4 • 2026-05-21</w:t>
      </w:r>
    </w:p>
    <w:p w14:paraId="6E29FAAA" w14:textId="77777777" w:rsidR="00EE1A9C" w:rsidRDefault="00E10687">
      <w:pPr>
        <w:spacing w:after="200"/>
      </w:pPr>
      <w:r>
        <w:rPr>
          <w:b/>
          <w:bCs/>
          <w:color w:val="00447C"/>
          <w:sz w:val="22"/>
          <w:szCs w:val="22"/>
        </w:rPr>
        <w:t>Owner: Engineering</w:t>
      </w:r>
    </w:p>
    <w:p w14:paraId="5B8242AB" w14:textId="77777777" w:rsidR="00EE1A9C" w:rsidRDefault="00E10687">
      <w:pPr>
        <w:pBdr>
          <w:bottom w:val="single" w:sz="8" w:space="6" w:color="00447C"/>
        </w:pBdr>
        <w:spacing w:before="200" w:after="200"/>
        <w:jc w:val="center"/>
      </w:pPr>
      <w:r>
        <w:rPr>
          <w:b/>
          <w:bCs/>
          <w:color w:val="00447C"/>
          <w:sz w:val="32"/>
          <w:szCs w:val="32"/>
        </w:rPr>
        <w:t>PART 1: GENERAL</w:t>
      </w:r>
    </w:p>
    <w:p w14:paraId="2F447E27" w14:textId="77777777" w:rsidR="00EE1A9C" w:rsidRPr="00C4212E" w:rsidRDefault="00E10687">
      <w:pPr>
        <w:spacing w:before="160" w:after="60"/>
        <w:rPr>
          <w:color w:val="00447C"/>
        </w:rPr>
      </w:pPr>
      <w:r>
        <w:rPr>
          <w:b/>
          <w:bCs/>
          <w:color w:val="00447C"/>
          <w:sz w:val="22"/>
          <w:szCs w:val="22"/>
        </w:rPr>
        <w:t>1.01–1.04: Administrative</w:t>
      </w:r>
    </w:p>
    <w:p w14:paraId="71A86473" w14:textId="77777777" w:rsidR="00EE1A9C" w:rsidRDefault="00E10687">
      <w:r>
        <w:t>Refer to A2P-E-XO-SPC01 (Spec Long Form) for complete Section Includes, Related Sections, Reference Standards, and Submittal requirements.</w:t>
      </w:r>
    </w:p>
    <w:p w14:paraId="64227827" w14:textId="77777777" w:rsidR="00EE1A9C" w:rsidRPr="00C4212E" w:rsidRDefault="00E10687">
      <w:pPr>
        <w:spacing w:before="160" w:after="60"/>
        <w:rPr>
          <w:color w:val="00447C"/>
        </w:rPr>
      </w:pPr>
      <w:r>
        <w:rPr>
          <w:b/>
          <w:bCs/>
          <w:color w:val="00447C"/>
          <w:sz w:val="22"/>
          <w:szCs w:val="22"/>
        </w:rPr>
        <w:t>1.05 Performance Requirements — ALL SEVEN (7) REQUIRED</w:t>
      </w:r>
    </w:p>
    <w:p w14:paraId="19684B0F" w14:textId="77777777" w:rsidR="00EE1A9C" w:rsidRDefault="00E10687">
      <w:pPr>
        <w:spacing w:after="100"/>
      </w:pPr>
      <w:r>
        <w:rPr>
          <w:b/>
          <w:bCs/>
        </w:rPr>
        <w:t>Systems shall meet ALL of the following. Systems that meet only partial requirements shall not be considered acceptable substitutes. All criteria must be demonstrated through independent third-party verification or PE-stamped documentation.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040"/>
        <w:gridCol w:w="4440"/>
        <w:gridCol w:w="2340"/>
      </w:tblGrid>
      <w:tr w:rsidR="00EE1A9C" w14:paraId="3E35998C" w14:textId="77777777" w:rsidTr="00C4212E">
        <w:tc>
          <w:tcPr>
            <w:tcW w:w="5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51143E96" w14:textId="77777777" w:rsidR="00EE1A9C" w:rsidRDefault="00E10687">
            <w:r>
              <w:rPr>
                <w:b/>
                <w:bCs/>
                <w:color w:val="00447C"/>
                <w:sz w:val="16"/>
                <w:szCs w:val="16"/>
              </w:rPr>
              <w:t>#</w:t>
            </w:r>
          </w:p>
        </w:tc>
        <w:tc>
          <w:tcPr>
            <w:tcW w:w="20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10B1ECEB" w14:textId="77777777" w:rsidR="00EE1A9C" w:rsidRPr="00C4212E" w:rsidRDefault="00E10687">
            <w:pPr>
              <w:rPr>
                <w:color w:val="FFFFFF" w:themeColor="background1"/>
              </w:rPr>
            </w:pPr>
            <w:r>
              <w:rPr>
                <w:b/>
                <w:bCs/>
                <w:color w:val="FFFFFF" w:themeColor="background1"/>
                <w:sz w:val="16"/>
                <w:szCs w:val="16"/>
              </w:rPr>
              <w:t>Requirement</w:t>
            </w:r>
          </w:p>
        </w:tc>
        <w:tc>
          <w:tcPr>
            <w:tcW w:w="44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14DAA07B" w14:textId="77777777" w:rsidR="00EE1A9C" w:rsidRPr="00C4212E" w:rsidRDefault="00E10687">
            <w:pPr>
              <w:rPr>
                <w:color w:val="FFFFFF" w:themeColor="background1"/>
              </w:rPr>
            </w:pPr>
            <w:r>
              <w:rPr>
                <w:b/>
                <w:bCs/>
                <w:color w:val="FFFFFF" w:themeColor="background1"/>
                <w:sz w:val="16"/>
                <w:szCs w:val="16"/>
              </w:rPr>
              <w:t>Threshold</w:t>
            </w:r>
          </w:p>
        </w:tc>
        <w:tc>
          <w:tcPr>
            <w:tcW w:w="23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224B4F80" w14:textId="77777777" w:rsidR="00EE1A9C" w:rsidRPr="00C4212E" w:rsidRDefault="00E10687">
            <w:pPr>
              <w:rPr>
                <w:color w:val="FFFFFF" w:themeColor="background1"/>
              </w:rPr>
            </w:pPr>
            <w:r>
              <w:rPr>
                <w:b/>
                <w:bCs/>
                <w:color w:val="FFFFFF" w:themeColor="background1"/>
                <w:sz w:val="16"/>
                <w:szCs w:val="16"/>
              </w:rPr>
              <w:t>Verification</w:t>
            </w:r>
          </w:p>
        </w:tc>
      </w:tr>
      <w:tr w:rsidR="00EE1A9C" w14:paraId="4AA869BE"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950649B" w14:textId="77777777" w:rsidR="00EE1A9C" w:rsidRDefault="00E10687">
            <w:r>
              <w:rPr>
                <w:sz w:val="15"/>
                <w:szCs w:val="15"/>
              </w:rPr>
              <w:t>1</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C30527F" w14:textId="77777777" w:rsidR="00EE1A9C" w:rsidRDefault="00E10687">
            <w:r>
              <w:rPr>
                <w:sz w:val="15"/>
                <w:szCs w:val="15"/>
              </w:rPr>
              <w:t>Thermal Performance</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D990DA" w14:textId="77777777" w:rsidR="00EE1A9C" w:rsidRDefault="00E10687">
            <w:r>
              <w:rPr>
                <w:sz w:val="15"/>
                <w:szCs w:val="15"/>
              </w:rPr>
              <w:t>Psi ≤ 0.025 Btu/(hr·ft·°F) [0.043 W/(m·K)] at sill, head, and jamb; wall assembly context disclosed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996D650" w14:textId="77777777" w:rsidR="00EE1A9C" w:rsidRDefault="00E10687">
            <w:r>
              <w:rPr>
                <w:sz w:val="15"/>
                <w:szCs w:val="15"/>
              </w:rPr>
              <w:t>Third-party per ISO 10211</w:t>
            </w:r>
          </w:p>
        </w:tc>
      </w:tr>
      <w:tr w:rsidR="00EE1A9C" w14:paraId="3EB2E8C0"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9ED7E15" w14:textId="77777777" w:rsidR="00EE1A9C" w:rsidRDefault="00E10687">
            <w:r>
              <w:rPr>
                <w:sz w:val="15"/>
                <w:szCs w:val="15"/>
              </w:rPr>
              <w:t>2</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70AC039" w14:textId="77777777" w:rsidR="00EE1A9C" w:rsidRDefault="00E10687">
            <w:r>
              <w:rPr>
                <w:sz w:val="15"/>
                <w:szCs w:val="15"/>
              </w:rPr>
              <w:t>Thermal Plane Alignment</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27D2752" w14:textId="77777777" w:rsidR="00EE1A9C" w:rsidRDefault="00E10687">
            <w:r>
              <w:rPr>
                <w:sz w:val="15"/>
                <w:szCs w:val="15"/>
              </w:rPr>
              <w:t>Outermost glazing flush with or recessed up to 1” inboard of CI exterior face; shall not extend outboard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65A3BBF" w14:textId="77777777" w:rsidR="00EE1A9C" w:rsidRDefault="00E10687">
            <w:r>
              <w:rPr>
                <w:sz w:val="15"/>
                <w:szCs w:val="15"/>
              </w:rPr>
              <w:t>Section detail + field verification</w:t>
            </w:r>
          </w:p>
        </w:tc>
      </w:tr>
      <w:tr w:rsidR="00EE1A9C" w14:paraId="57BF5F0B"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097E9D6" w14:textId="77777777" w:rsidR="00EE1A9C" w:rsidRDefault="00E10687">
            <w:r>
              <w:rPr>
                <w:sz w:val="15"/>
                <w:szCs w:val="15"/>
              </w:rPr>
              <w:t>3</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EF299A7" w14:textId="77777777" w:rsidR="00EE1A9C" w:rsidRDefault="00E10687">
            <w:r>
              <w:rPr>
                <w:sz w:val="15"/>
                <w:szCs w:val="15"/>
              </w:rPr>
              <w:t>Structural Performance</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BFD4628" w14:textId="77777777" w:rsidR="00EE1A9C" w:rsidRDefault="00E10687">
            <w:r>
              <w:rPr>
                <w:sz w:val="15"/>
                <w:szCs w:val="15"/>
              </w:rPr>
              <w:t>Project-specific PE-stamped calcs; eccentric cantilever analysis; anisotropic properties of composite, lumber, and non-metal materials accounted for; point loading at fastener locations representative of actual cladding dynamics; thermal cycling effects on connections; all fasteners into metal backers or bolted connections</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E791FA3" w14:textId="77777777" w:rsidR="00EE1A9C" w:rsidRDefault="00E10687">
            <w:r>
              <w:rPr>
                <w:sz w:val="15"/>
                <w:szCs w:val="15"/>
              </w:rPr>
              <w:t>PE-stamped calcs for project loads</w:t>
            </w:r>
          </w:p>
        </w:tc>
      </w:tr>
      <w:tr w:rsidR="00EE1A9C" w14:paraId="514B07AB"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3AE16FD" w14:textId="77777777" w:rsidR="00EE1A9C" w:rsidRDefault="00E10687">
            <w:r>
              <w:rPr>
                <w:sz w:val="15"/>
                <w:szCs w:val="15"/>
              </w:rPr>
              <w:t>4</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8B4DAA1" w14:textId="77777777" w:rsidR="00EE1A9C" w:rsidRDefault="00E10687">
            <w:r>
              <w:rPr>
                <w:sz w:val="15"/>
                <w:szCs w:val="15"/>
              </w:rPr>
              <w:t>Air/Water Resistance</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D34097C" w14:textId="77777777" w:rsidR="00EE1A9C" w:rsidRDefault="00E10687">
            <w:r>
              <w:rPr>
                <w:sz w:val="15"/>
                <w:szCs w:val="15"/>
              </w:rPr>
              <w:t>50 psf min. per ASTM E2357 (air) and ASTM E331 (water); air leakage ≤ 0.04 cfm/ft² at 75 Pa; max water absorption ≤ 0.5%; non-porous, non-absorptive material; no surface sealing of member faces required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05CC054" w14:textId="77777777" w:rsidR="00EE1A9C" w:rsidRDefault="00E10687">
            <w:r>
              <w:rPr>
                <w:sz w:val="15"/>
                <w:szCs w:val="15"/>
              </w:rPr>
              <w:t>Third-party test reports</w:t>
            </w:r>
          </w:p>
        </w:tc>
      </w:tr>
      <w:tr w:rsidR="00EE1A9C" w14:paraId="3F6CA30E"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6720AF4" w14:textId="77777777" w:rsidR="00EE1A9C" w:rsidRDefault="00E10687">
            <w:r>
              <w:rPr>
                <w:sz w:val="15"/>
                <w:szCs w:val="15"/>
              </w:rPr>
              <w:t>5</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01B18B2" w14:textId="77777777" w:rsidR="00EE1A9C" w:rsidRDefault="00E10687">
            <w:r>
              <w:rPr>
                <w:sz w:val="15"/>
                <w:szCs w:val="15"/>
              </w:rPr>
              <w:t>Fire Safety</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A8F2746" w14:textId="77777777" w:rsidR="00EE1A9C" w:rsidRDefault="00E10687">
            <w:r>
              <w:rPr>
                <w:sz w:val="15"/>
                <w:szCs w:val="15"/>
              </w:rPr>
              <w:t>Non-combustible dead load support per IBC; ASTM E84 Class A (FSI ≤25, SDI ≤450); NFPA 285 where required</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0E294A0" w14:textId="77777777" w:rsidR="00EE1A9C" w:rsidRDefault="00E10687">
            <w:r>
              <w:rPr>
                <w:sz w:val="15"/>
                <w:szCs w:val="15"/>
              </w:rPr>
              <w:t>Test reports or letter of equivalency</w:t>
            </w:r>
          </w:p>
        </w:tc>
      </w:tr>
      <w:tr w:rsidR="00EE1A9C" w14:paraId="371F8E32"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5B81D56" w14:textId="77777777" w:rsidR="00EE1A9C" w:rsidRDefault="00E10687">
            <w:r>
              <w:rPr>
                <w:sz w:val="15"/>
                <w:szCs w:val="15"/>
              </w:rPr>
              <w:t>6</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34A507F" w14:textId="77777777" w:rsidR="00EE1A9C" w:rsidRDefault="00E10687">
            <w:r>
              <w:rPr>
                <w:sz w:val="15"/>
                <w:szCs w:val="15"/>
              </w:rPr>
              <w:t>Single-Source Interface System</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4FEF354" w14:textId="77777777" w:rsidR="00EE1A9C" w:rsidRDefault="00E10687">
            <w:r>
              <w:rPr>
                <w:sz w:val="15"/>
                <w:szCs w:val="15"/>
              </w:rPr>
              <w:t>Modular aluminum interface flanges via factory keyway; all components from one manufacturer, one warranty; compatible with manufacturer’s CI sub-framing system</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3C9932B" w14:textId="77777777" w:rsidR="00EE1A9C" w:rsidRDefault="00E10687">
            <w:r>
              <w:rPr>
                <w:sz w:val="15"/>
                <w:szCs w:val="15"/>
              </w:rPr>
              <w:t>Warranty documentation</w:t>
            </w:r>
          </w:p>
        </w:tc>
      </w:tr>
      <w:tr w:rsidR="00EE1A9C" w14:paraId="0DA05588" w14:textId="77777777">
        <w:tc>
          <w:tcPr>
            <w:tcW w:w="5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09EE922" w14:textId="77777777" w:rsidR="00EE1A9C" w:rsidRDefault="00E10687">
            <w:r>
              <w:rPr>
                <w:sz w:val="15"/>
                <w:szCs w:val="15"/>
              </w:rPr>
              <w:t>7</w:t>
            </w:r>
          </w:p>
        </w:tc>
        <w:tc>
          <w:tcPr>
            <w:tcW w:w="20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B629670" w14:textId="77777777" w:rsidR="00EE1A9C" w:rsidRDefault="00E10687">
            <w:r>
              <w:rPr>
                <w:sz w:val="15"/>
                <w:szCs w:val="15"/>
              </w:rPr>
              <w:t>Certified Assembly Thermal Performance</w:t>
            </w:r>
          </w:p>
        </w:tc>
        <w:tc>
          <w:tcPr>
            <w:tcW w:w="44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03245C5" w14:textId="77777777" w:rsidR="00EE1A9C" w:rsidRDefault="00E10687">
            <w:r>
              <w:rPr>
                <w:sz w:val="15"/>
                <w:szCs w:val="15"/>
              </w:rPr>
              <w:t>Assembly Thermal Efficiency ≥ 93%; chi ≤ 0.005 Btu/(hr·°F) per bracket; thermal flanking analysis; 12” simulation boundary in all directions</w:t>
            </w:r>
          </w:p>
        </w:tc>
        <w:tc>
          <w:tcPr>
            <w:tcW w:w="23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3AB4C70" w14:textId="77777777" w:rsidR="00EE1A9C" w:rsidRDefault="00E10687">
            <w:r>
              <w:rPr>
                <w:sz w:val="15"/>
                <w:szCs w:val="15"/>
              </w:rPr>
              <w:t>Independent third-party certification per ISO 10211 with project-state PE stamp</w:t>
            </w:r>
          </w:p>
        </w:tc>
      </w:tr>
    </w:tbl>
    <w:p w14:paraId="5AFE0B29" w14:textId="77777777" w:rsidR="00EE1A9C" w:rsidRDefault="00EE1A9C">
      <w:pPr>
        <w:pBdr>
          <w:bottom w:val="single" w:sz="4" w:space="1" w:color="CCCCCC"/>
        </w:pBdr>
        <w:spacing w:before="160" w:after="160"/>
      </w:pPr>
    </w:p>
    <w:p w14:paraId="5EFF0C0B" w14:textId="77777777" w:rsidR="00EE1A9C" w:rsidRDefault="00E10687">
      <w:pPr>
        <w:pBdr>
          <w:bottom w:val="single" w:sz="8" w:space="6" w:color="00447C"/>
        </w:pBdr>
        <w:spacing w:before="200" w:after="200"/>
        <w:jc w:val="center"/>
      </w:pPr>
      <w:r>
        <w:rPr>
          <w:b/>
          <w:bCs/>
          <w:color w:val="00447C"/>
          <w:sz w:val="32"/>
          <w:szCs w:val="32"/>
        </w:rPr>
        <w:t>PART 2: PRODUCTS (BASIS OF DESIGN)</w:t>
      </w:r>
    </w:p>
    <w:p w14:paraId="797DEE44" w14:textId="77777777" w:rsidR="00EE1A9C" w:rsidRDefault="00E10687">
      <w:pPr>
        <w:spacing w:before="60" w:after="40"/>
      </w:pPr>
      <w:r>
        <w:rPr>
          <w:b/>
          <w:bCs/>
          <w:color w:val="00447C"/>
        </w:rPr>
        <w:t xml:space="preserve">Manufacturer: </w:t>
      </w:r>
      <w:r>
        <w:t>Advanced Architectural Products (A2P)  |  www.GreenGirt.com  |  (269) 355-1818</w:t>
      </w:r>
    </w:p>
    <w:p w14:paraId="6F2A9299" w14:textId="77777777" w:rsidR="00EE1A9C" w:rsidRDefault="00E10687">
      <w:pPr>
        <w:spacing w:after="40"/>
      </w:pPr>
      <w:r>
        <w:rPr>
          <w:b/>
          <w:bCs/>
          <w:color w:val="00447C"/>
        </w:rPr>
        <w:t xml:space="preserve">Product: </w:t>
      </w:r>
      <w:r>
        <w:t>GreenGirt XO™ Structural Thermal Framing  |  CMH Technology  |  CSI 07 05 43.05</w:t>
      </w:r>
    </w:p>
    <w:p w14:paraId="4F46E700" w14:textId="77777777" w:rsidR="00EE1A9C" w:rsidRDefault="00E10687">
      <w:pPr>
        <w:spacing w:after="120"/>
      </w:pPr>
      <w:r>
        <w:rPr>
          <w:b/>
          <w:bCs/>
          <w:color w:val="00447C"/>
        </w:rPr>
        <w:t xml:space="preserve">Available Depths: </w:t>
      </w:r>
      <w:r>
        <w:t>2”, 3”, 4”, 5”, 6”</w:t>
      </w:r>
    </w:p>
    <w:p w14:paraId="6E18C8BC" w14:textId="77777777" w:rsidR="00EE1A9C" w:rsidRDefault="00E10687">
      <w:pPr>
        <w:spacing w:before="120" w:after="40"/>
      </w:pPr>
      <w:r>
        <w:rPr>
          <w:b/>
          <w:bCs/>
          <w:color w:val="1F4D78"/>
          <w:sz w:val="20"/>
          <w:szCs w:val="20"/>
        </w:rPr>
        <w:t>System Components</w:t>
      </w:r>
    </w:p>
    <w:p w14:paraId="47D9B70D" w14:textId="77777777" w:rsidR="00EE1A9C" w:rsidRDefault="00E10687">
      <w:pPr>
        <w:spacing w:after="60"/>
        <w:ind w:left="720" w:hanging="360"/>
      </w:pPr>
      <w:r>
        <w:rPr>
          <w:b/>
          <w:bCs/>
        </w:rPr>
        <w:t>A.</w:t>
      </w:r>
      <w:r>
        <w:tab/>
        <w:t>CMH framing members (sill, jamb, header)</w:t>
      </w:r>
    </w:p>
    <w:p w14:paraId="06505727" w14:textId="77777777" w:rsidR="00EE1A9C" w:rsidRDefault="00E10687">
      <w:pPr>
        <w:spacing w:after="60"/>
        <w:ind w:left="720" w:hanging="360"/>
      </w:pPr>
      <w:r>
        <w:rPr>
          <w:b/>
          <w:bCs/>
        </w:rPr>
        <w:t>B.</w:t>
      </w:r>
      <w:r>
        <w:tab/>
        <w:t>Modular aluminum interface flanges (mini flange, flange, header angle; standard and spacer variants)</w:t>
      </w:r>
    </w:p>
    <w:p w14:paraId="532C1615" w14:textId="77777777" w:rsidR="00EE1A9C" w:rsidRDefault="00E10687">
      <w:pPr>
        <w:spacing w:after="60"/>
        <w:ind w:left="720" w:hanging="360"/>
      </w:pPr>
      <w:r>
        <w:rPr>
          <w:b/>
          <w:bCs/>
        </w:rPr>
        <w:lastRenderedPageBreak/>
        <w:t>C.</w:t>
      </w:r>
      <w:r>
        <w:tab/>
        <w:t>Attachment clips (dead load + lateral; aluminum and galvanized)</w:t>
      </w:r>
    </w:p>
    <w:p w14:paraId="5D581631" w14:textId="77777777" w:rsidR="00EE1A9C" w:rsidRDefault="00E10687">
      <w:pPr>
        <w:spacing w:after="60"/>
        <w:ind w:left="720" w:hanging="360"/>
      </w:pPr>
      <w:r>
        <w:rPr>
          <w:b/>
          <w:bCs/>
        </w:rPr>
        <w:t>D.</w:t>
      </w:r>
      <w:r>
        <w:tab/>
        <w:t>Mechanical fasteners (per substrate)</w:t>
      </w:r>
    </w:p>
    <w:p w14:paraId="17584B97" w14:textId="77777777" w:rsidR="00EE1A9C" w:rsidRDefault="00E10687">
      <w:pPr>
        <w:spacing w:after="60"/>
        <w:ind w:left="720" w:hanging="360"/>
      </w:pPr>
      <w:r>
        <w:rPr>
          <w:b/>
          <w:bCs/>
        </w:rPr>
        <w:t>E.</w:t>
      </w:r>
      <w:r>
        <w:tab/>
        <w:t>Self-sealing anchor plates</w:t>
      </w:r>
    </w:p>
    <w:p w14:paraId="3158A803" w14:textId="77777777" w:rsidR="00EE1A9C" w:rsidRDefault="00E10687">
      <w:pPr>
        <w:spacing w:before="120" w:after="60"/>
      </w:pPr>
      <w:r>
        <w:rPr>
          <w:b/>
          <w:bCs/>
          <w:i/>
          <w:iCs/>
        </w:rPr>
        <w:t>Product Performance Summary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6660"/>
      </w:tblGrid>
      <w:tr w:rsidR="00EE1A9C" w14:paraId="7957FC38" w14:textId="77777777" w:rsidTr="00C4212E">
        <w:tc>
          <w:tcPr>
            <w:tcW w:w="270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313251DC" w14:textId="77777777" w:rsidR="00EE1A9C" w:rsidRPr="00C4212E" w:rsidRDefault="00E10687">
            <w:pPr>
              <w:rPr>
                <w:color w:val="FFFFFF" w:themeColor="background1"/>
              </w:rPr>
            </w:pPr>
            <w:r>
              <w:rPr>
                <w:b/>
                <w:bCs/>
                <w:color w:val="FFFFFF" w:themeColor="background1"/>
                <w:sz w:val="16"/>
                <w:szCs w:val="16"/>
              </w:rPr>
              <w:t>Category</w:t>
            </w:r>
          </w:p>
        </w:tc>
        <w:tc>
          <w:tcPr>
            <w:tcW w:w="666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727B256F" w14:textId="77777777" w:rsidR="00EE1A9C" w:rsidRPr="00C4212E" w:rsidRDefault="00E10687">
            <w:pPr>
              <w:rPr>
                <w:color w:val="FFFFFF" w:themeColor="background1"/>
              </w:rPr>
            </w:pPr>
            <w:r>
              <w:rPr>
                <w:b/>
                <w:bCs/>
                <w:color w:val="FFFFFF" w:themeColor="background1"/>
                <w:sz w:val="16"/>
                <w:szCs w:val="16"/>
              </w:rPr>
              <w:t>Product Data</w:t>
            </w:r>
          </w:p>
        </w:tc>
      </w:tr>
      <w:tr w:rsidR="00EE1A9C" w14:paraId="6EB9860B"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F73FBEF" w14:textId="77777777" w:rsidR="00EE1A9C" w:rsidRDefault="00E10687">
            <w:r>
              <w:rPr>
                <w:sz w:val="16"/>
                <w:szCs w:val="16"/>
              </w:rPr>
              <w:t>Thermal (4” depth)</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94E8F2" w14:textId="77777777" w:rsidR="00EE1A9C" w:rsidRDefault="00E10687">
            <w:r>
              <w:rPr>
                <w:sz w:val="16"/>
                <w:szCs w:val="16"/>
              </w:rPr>
              <w:t>Psi 0.0208 Btu/(hr·ft·°F) [0.036 W/(m·K)] per RDH/ISO 10211</w:t>
            </w:r>
          </w:p>
        </w:tc>
      </w:tr>
      <w:tr w:rsidR="00EE1A9C" w14:paraId="4EDBE7A2"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E58570B" w14:textId="77777777" w:rsidR="00EE1A9C" w:rsidRDefault="00E10687">
            <w:r>
              <w:rPr>
                <w:sz w:val="16"/>
                <w:szCs w:val="16"/>
              </w:rPr>
              <w:t>Structural</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E10355B" w14:textId="77777777" w:rsidR="00EE1A9C" w:rsidRDefault="00E10687">
            <w:r>
              <w:rPr>
                <w:sz w:val="16"/>
                <w:szCs w:val="16"/>
              </w:rPr>
              <w:t>Up to 300 plf dead load at outer edge</w:t>
            </w:r>
          </w:p>
        </w:tc>
      </w:tr>
      <w:tr w:rsidR="00EE1A9C" w14:paraId="06702209"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5520A31" w14:textId="77777777" w:rsidR="00EE1A9C" w:rsidRDefault="00E10687">
            <w:r>
              <w:rPr>
                <w:sz w:val="16"/>
                <w:szCs w:val="16"/>
              </w:rPr>
              <w:t>Air Infiltration</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75DD990" w14:textId="77777777" w:rsidR="00EE1A9C" w:rsidRDefault="00E10687">
            <w:r>
              <w:rPr>
                <w:sz w:val="16"/>
                <w:szCs w:val="16"/>
              </w:rPr>
              <w:t>Tested and passed at 100 psf per ASTM E2357</w:t>
            </w:r>
          </w:p>
        </w:tc>
      </w:tr>
      <w:tr w:rsidR="00EE1A9C" w14:paraId="263789BE"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6D67A01" w14:textId="77777777" w:rsidR="00EE1A9C" w:rsidRDefault="00E10687">
            <w:r>
              <w:rPr>
                <w:sz w:val="16"/>
                <w:szCs w:val="16"/>
              </w:rPr>
              <w:t>Water Penetration</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D133DD3" w14:textId="77777777" w:rsidR="00EE1A9C" w:rsidRDefault="00E10687">
            <w:r>
              <w:rPr>
                <w:sz w:val="16"/>
                <w:szCs w:val="16"/>
              </w:rPr>
              <w:t>Tested and passed at 100 psf per ASTM E331</w:t>
            </w:r>
          </w:p>
        </w:tc>
      </w:tr>
      <w:tr w:rsidR="00EE1A9C" w14:paraId="78C882C8"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BABF971" w14:textId="77777777" w:rsidR="00EE1A9C" w:rsidRDefault="00E10687">
            <w:r>
              <w:rPr>
                <w:sz w:val="16"/>
                <w:szCs w:val="16"/>
              </w:rPr>
              <w:t>Fire</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F8D3F76" w14:textId="77777777" w:rsidR="00EE1A9C" w:rsidRDefault="00E10687">
            <w:r>
              <w:rPr>
                <w:sz w:val="16"/>
                <w:szCs w:val="16"/>
              </w:rPr>
              <w:t>FSI ≤ 25, SDI ≤ 450 per ASTM E84; NFPA 285 assembly tested</w:t>
            </w:r>
          </w:p>
        </w:tc>
      </w:tr>
      <w:tr w:rsidR="00EE1A9C" w14:paraId="0041FC55"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F4E2898" w14:textId="77777777" w:rsidR="00EE1A9C" w:rsidRDefault="00E10687">
            <w:r>
              <w:rPr>
                <w:sz w:val="16"/>
                <w:szCs w:val="16"/>
              </w:rPr>
              <w:t>Material</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782576" w14:textId="77777777" w:rsidR="00EE1A9C" w:rsidRDefault="00E10687">
            <w:r>
              <w:rPr>
                <w:sz w:val="16"/>
                <w:szCs w:val="16"/>
              </w:rPr>
              <w:t>Non-porous, non-absorptive; no surface sealing required</w:t>
            </w:r>
          </w:p>
        </w:tc>
      </w:tr>
      <w:tr w:rsidR="00EE1A9C" w14:paraId="222A899F" w14:textId="7777777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E7A01E5" w14:textId="77777777" w:rsidR="00EE1A9C" w:rsidRDefault="00E10687">
            <w:r>
              <w:rPr>
                <w:sz w:val="16"/>
                <w:szCs w:val="16"/>
              </w:rPr>
              <w:t>Assembly Thermal Efficiency</w:t>
            </w:r>
          </w:p>
        </w:tc>
        <w:tc>
          <w:tcPr>
            <w:tcW w:w="66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9A7B72A" w14:textId="77777777" w:rsidR="00EE1A9C" w:rsidRDefault="00E10687">
            <w:r>
              <w:rPr>
                <w:sz w:val="16"/>
                <w:szCs w:val="16"/>
              </w:rPr>
              <w:t>93–97% across all depths; third-party certified per ISO 10211</w:t>
            </w:r>
          </w:p>
        </w:tc>
      </w:tr>
    </w:tbl>
    <w:p w14:paraId="54EE578D" w14:textId="77777777" w:rsidR="00EE1A9C" w:rsidRDefault="00EE1A9C">
      <w:pPr>
        <w:pBdr>
          <w:bottom w:val="single" w:sz="4" w:space="1" w:color="CCCCCC"/>
        </w:pBdr>
        <w:spacing w:before="160" w:after="160"/>
      </w:pPr>
    </w:p>
    <w:p w14:paraId="56A19E4D" w14:textId="77777777" w:rsidR="00EE1A9C" w:rsidRDefault="00E10687">
      <w:pPr>
        <w:pBdr>
          <w:bottom w:val="single" w:sz="8" w:space="6" w:color="00447C"/>
        </w:pBdr>
        <w:spacing w:before="200" w:after="200"/>
        <w:jc w:val="center"/>
      </w:pPr>
      <w:r>
        <w:rPr>
          <w:b/>
          <w:bCs/>
          <w:color w:val="00447C"/>
          <w:sz w:val="32"/>
          <w:szCs w:val="32"/>
        </w:rPr>
        <w:t>PART 3: EXECUTION</w:t>
      </w:r>
    </w:p>
    <w:p w14:paraId="1142E743" w14:textId="77777777" w:rsidR="00EE1A9C" w:rsidRDefault="00E10687">
      <w:pPr>
        <w:spacing w:before="60" w:after="60"/>
      </w:pPr>
      <w:r>
        <w:rPr>
          <w:b/>
          <w:bCs/>
        </w:rPr>
        <w:t xml:space="preserve">Installation Sequence: </w:t>
      </w:r>
      <w:r>
        <w:t>Dead load clips → Interface flanges to CMH (if not pre-assembled) → Sill → Jambs → Header → Seal all corner joints. Install per manufacturer’s instructions and approved shop drawings.</w:t>
      </w:r>
    </w:p>
    <w:p w14:paraId="4EAEAF69" w14:textId="77777777" w:rsidR="00EE1A9C" w:rsidRDefault="00E10687">
      <w:pPr>
        <w:spacing w:after="60"/>
      </w:pPr>
      <w:r>
        <w:rPr>
          <w:b/>
          <w:bCs/>
        </w:rPr>
        <w:t xml:space="preserve">AWB Integration: </w:t>
      </w:r>
      <w:r>
        <w:t>CMH material is non-porous — AWB ties into CMH flanges at interface only, not on member faces. Do not wrap or coat CMH surfaces.</w:t>
      </w:r>
    </w:p>
    <w:p w14:paraId="1E8C2038" w14:textId="77777777" w:rsidR="00EE1A9C" w:rsidRDefault="00E10687">
      <w:pPr>
        <w:spacing w:after="120"/>
      </w:pPr>
      <w:r>
        <w:rPr>
          <w:b/>
          <w:bCs/>
        </w:rPr>
        <w:t xml:space="preserve">Coordination: </w:t>
      </w:r>
      <w:r>
        <w:t>CI installs over/around CMH. Glazier mounts fenestration to CMH members.</w:t>
      </w:r>
    </w:p>
    <w:p w14:paraId="00BCCC5B" w14:textId="77777777" w:rsidR="00EE1A9C" w:rsidRDefault="00EE1A9C">
      <w:pPr>
        <w:pBdr>
          <w:bottom w:val="single" w:sz="4" w:space="1" w:color="CCCCCC"/>
        </w:pBdr>
        <w:spacing w:before="160" w:after="160"/>
      </w:pPr>
    </w:p>
    <w:p w14:paraId="65F86186" w14:textId="77777777" w:rsidR="00EE1A9C" w:rsidRDefault="00E10687">
      <w:pPr>
        <w:spacing w:before="140"/>
      </w:pPr>
      <w:r>
        <w:rPr>
          <w:b/>
          <w:bCs/>
          <w:color w:val="00447C"/>
          <w:sz w:val="24"/>
          <w:szCs w:val="24"/>
        </w:rPr>
        <w:t>SUBMITTALS REQUIRED</w:t>
      </w:r>
    </w:p>
    <w:p w14:paraId="04C240CE" w14:textId="77777777" w:rsidR="00EE1A9C" w:rsidRDefault="00E10687">
      <w:pPr>
        <w:spacing w:after="60"/>
        <w:ind w:left="720" w:hanging="360"/>
      </w:pPr>
      <w:r>
        <w:rPr>
          <w:b/>
          <w:bCs/>
        </w:rPr>
        <w:t>A.</w:t>
      </w:r>
      <w:r>
        <w:tab/>
        <w:t>Product data sheets</w:t>
      </w:r>
    </w:p>
    <w:p w14:paraId="2B3CC5BA" w14:textId="77777777" w:rsidR="00EE1A9C" w:rsidRDefault="00E10687">
      <w:pPr>
        <w:spacing w:after="60"/>
        <w:ind w:left="720" w:hanging="360"/>
      </w:pPr>
      <w:r>
        <w:rPr>
          <w:b/>
          <w:bCs/>
        </w:rPr>
        <w:t>B.</w:t>
      </w:r>
      <w:r>
        <w:tab/>
        <w:t>Third-party Psi report per ISO 10211</w:t>
      </w:r>
    </w:p>
    <w:p w14:paraId="557A2E76" w14:textId="77777777" w:rsidR="00EE1A9C" w:rsidRDefault="00E10687">
      <w:pPr>
        <w:spacing w:after="60"/>
        <w:ind w:left="720" w:hanging="360"/>
      </w:pPr>
      <w:r>
        <w:rPr>
          <w:b/>
          <w:bCs/>
        </w:rPr>
        <w:t>C.</w:t>
      </w:r>
      <w:r>
        <w:tab/>
        <w:t>ASTM E84 test report (FSI/SDI)</w:t>
      </w:r>
    </w:p>
    <w:p w14:paraId="4B55400E" w14:textId="77777777" w:rsidR="00EE1A9C" w:rsidRDefault="00E10687">
      <w:pPr>
        <w:spacing w:after="60"/>
        <w:ind w:left="720" w:hanging="360"/>
      </w:pPr>
      <w:r>
        <w:rPr>
          <w:b/>
          <w:bCs/>
        </w:rPr>
        <w:t>D.</w:t>
      </w:r>
      <w:r>
        <w:tab/>
        <w:t>NFPA 285 report or letter of equivalency (where required)</w:t>
      </w:r>
    </w:p>
    <w:p w14:paraId="2087351A" w14:textId="77777777" w:rsidR="00EE1A9C" w:rsidRDefault="00E10687">
      <w:pPr>
        <w:spacing w:after="60"/>
        <w:ind w:left="720" w:hanging="360"/>
      </w:pPr>
      <w:r>
        <w:rPr>
          <w:b/>
          <w:bCs/>
        </w:rPr>
        <w:t>E.</w:t>
      </w:r>
      <w:r>
        <w:tab/>
        <w:t>ASTM E2357 at 50 psf min. (air infiltration)</w:t>
      </w:r>
    </w:p>
    <w:p w14:paraId="7E0CDC04" w14:textId="77777777" w:rsidR="00EE1A9C" w:rsidRDefault="00E10687">
      <w:pPr>
        <w:spacing w:after="60"/>
        <w:ind w:left="720" w:hanging="360"/>
      </w:pPr>
      <w:r>
        <w:rPr>
          <w:b/>
          <w:bCs/>
        </w:rPr>
        <w:t>F.</w:t>
      </w:r>
      <w:r>
        <w:tab/>
        <w:t>ASTM E331 at 50 psf min. (water penetration)</w:t>
      </w:r>
    </w:p>
    <w:p w14:paraId="4E6180C9" w14:textId="77777777" w:rsidR="00EE1A9C" w:rsidRDefault="00E10687">
      <w:pPr>
        <w:spacing w:after="60"/>
        <w:ind w:left="720" w:hanging="360"/>
      </w:pPr>
      <w:r>
        <w:rPr>
          <w:b/>
          <w:bCs/>
        </w:rPr>
        <w:t>G.</w:t>
      </w:r>
      <w:r>
        <w:tab/>
        <w:t>Material water absorption data (ASTM D570)</w:t>
      </w:r>
    </w:p>
    <w:p w14:paraId="0D967843" w14:textId="77777777" w:rsidR="00EE1A9C" w:rsidRDefault="00E10687">
      <w:pPr>
        <w:spacing w:after="60"/>
        <w:ind w:left="720" w:hanging="360"/>
      </w:pPr>
      <w:r>
        <w:rPr>
          <w:b/>
          <w:bCs/>
        </w:rPr>
        <w:t>H.</w:t>
      </w:r>
      <w:r>
        <w:tab/>
        <w:t>PE-stamped structural calculations (eccentric cantilever)</w:t>
      </w:r>
    </w:p>
    <w:p w14:paraId="609062A0" w14:textId="77777777" w:rsidR="00EE1A9C" w:rsidRDefault="00E10687">
      <w:pPr>
        <w:spacing w:after="60"/>
        <w:ind w:left="720" w:hanging="360"/>
      </w:pPr>
      <w:r>
        <w:rPr>
          <w:b/>
          <w:bCs/>
        </w:rPr>
        <w:t>I.</w:t>
      </w:r>
      <w:r>
        <w:tab/>
        <w:t>Single-source warranty documentation</w:t>
      </w:r>
    </w:p>
    <w:p w14:paraId="1E248E7C" w14:textId="77777777" w:rsidR="00EE1A9C" w:rsidRDefault="00E10687">
      <w:pPr>
        <w:spacing w:after="60"/>
        <w:ind w:left="720" w:hanging="360"/>
      </w:pPr>
      <w:r>
        <w:rPr>
          <w:b/>
          <w:bCs/>
        </w:rPr>
        <w:t>J.</w:t>
      </w:r>
      <w:r>
        <w:tab/>
        <w:t>Shop drawings (layouts, clips, interface flanges, AWB details)</w:t>
      </w:r>
    </w:p>
    <w:p w14:paraId="7B7AF646" w14:textId="77777777" w:rsidR="00EE1A9C" w:rsidRDefault="00E10687">
      <w:pPr>
        <w:spacing w:after="60"/>
        <w:ind w:left="720" w:hanging="360"/>
      </w:pPr>
      <w:r>
        <w:rPr>
          <w:b/>
          <w:bCs/>
        </w:rPr>
        <w:t>K.</w:t>
      </w:r>
      <w:r>
        <w:tab/>
        <w:t>AWB compatibility documentation</w:t>
      </w:r>
    </w:p>
    <w:p w14:paraId="3746C35B" w14:textId="77777777" w:rsidR="00EE1A9C" w:rsidRDefault="00E10687">
      <w:pPr>
        <w:spacing w:after="60"/>
        <w:ind w:left="720" w:hanging="360"/>
      </w:pPr>
      <w:r>
        <w:rPr>
          <w:b/>
          <w:bCs/>
        </w:rPr>
        <w:t>L.</w:t>
      </w:r>
      <w:r>
        <w:tab/>
        <w:t>Joint sealant specification</w:t>
      </w:r>
    </w:p>
    <w:p w14:paraId="30C15180" w14:textId="77777777" w:rsidR="00EE1A9C" w:rsidRDefault="00E10687">
      <w:pPr>
        <w:spacing w:after="60"/>
        <w:ind w:left="720" w:hanging="360"/>
      </w:pPr>
      <w:r>
        <w:rPr>
          <w:b/>
          <w:bCs/>
        </w:rPr>
        <w:t>M.</w:t>
      </w:r>
      <w:r>
        <w:tab/>
        <w:t>Installation instructions</w:t>
      </w:r>
    </w:p>
    <w:p w14:paraId="0360745E" w14:textId="77777777" w:rsidR="00EE1A9C" w:rsidRDefault="00E10687">
      <w:pPr>
        <w:spacing w:after="60"/>
        <w:ind w:left="720" w:hanging="360"/>
      </w:pPr>
      <w:r>
        <w:rPr>
          <w:b/>
          <w:bCs/>
        </w:rPr>
        <w:t>N.</w:t>
      </w:r>
      <w:r>
        <w:tab/>
        <w:t>Certified Assembly Thermal Performance report per PR7 (assembly boundary, efficiency calculation, chi values, thermal flanking analysis, isothermal plots, independent PE certification)</w:t>
      </w:r>
    </w:p>
    <w:p w14:paraId="265CFDF6" w14:textId="77777777" w:rsidR="00EE1A9C" w:rsidRDefault="00E10687">
      <w:pPr>
        <w:spacing w:before="100"/>
        <w:ind w:left="720"/>
      </w:pPr>
      <w:r>
        <w:rPr>
          <w:i/>
          <w:iCs/>
          <w:color w:val="666666"/>
        </w:rPr>
        <w:t>SUBSTITUTION NOTICE: Substitution requests shall demonstrate compliance with ALL seven (7) performance requirements in Section 1.05. Partial compliance is not acceptable. Refer to Section 01 60 00. For complete specification including stainless steel alternate, refer to A2P-E-XO-SPC01 (Spec Long Form).</w:t>
      </w:r>
    </w:p>
    <w:p w14:paraId="5887889A" w14:textId="77777777" w:rsidR="00EE1A9C" w:rsidRDefault="00EE1A9C">
      <w:pPr>
        <w:pBdr>
          <w:bottom w:val="single" w:sz="4" w:space="1" w:color="CCCCCC"/>
        </w:pBdr>
        <w:spacing w:before="160" w:after="160"/>
      </w:pPr>
    </w:p>
    <w:p w14:paraId="62906BA9" w14:textId="77777777" w:rsidR="00EE1A9C" w:rsidRDefault="00E10687">
      <w:pPr>
        <w:spacing w:before="120" w:after="0"/>
        <w:jc w:val="center"/>
      </w:pPr>
      <w:r>
        <w:rPr>
          <w:i/>
          <w:iCs/>
          <w:color w:val="666666"/>
        </w:rPr>
        <w:t>END OF SECTION 07 05 43.05 — SHORT FORM</w:t>
      </w:r>
    </w:p>
    <w:sectPr w:rsidR="00EE1A9C">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A0C9D" w14:textId="77777777" w:rsidR="00D31FE0" w:rsidRDefault="00D31FE0">
      <w:pPr>
        <w:spacing w:after="0"/>
      </w:pPr>
      <w:r>
        <w:separator/>
      </w:r>
    </w:p>
  </w:endnote>
  <w:endnote w:type="continuationSeparator" w:id="0">
    <w:p w14:paraId="0EC956D3" w14:textId="77777777" w:rsidR="00D31FE0" w:rsidRDefault="00D31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693A" w14:textId="77777777" w:rsidR="00EE1A9C" w:rsidRDefault="00E10687">
    <w:pPr>
      <w:pBdr>
        <w:top w:val="single" w:sz="1" w:space="4" w:color="CCCCCC"/>
      </w:pBdr>
      <w:spacing w:after="40"/>
      <w:jc w:val="center"/>
    </w:pPr>
    <w:r>
      <w:rPr>
        <w:color w:val="999999"/>
        <w:sz w:val="14"/>
        <w:szCs w:val="14"/>
      </w:rPr>
      <w:t>A2P-E-XO-SPC02-v2.4  •  2026-05-21  •  Advanced Architectural Products  •  (269) 355-1818  •  www.GreenGirt.com</w:t>
    </w:r>
  </w:p>
  <w:p w14:paraId="7B04B4ED" w14:textId="77777777" w:rsidR="00EE1A9C" w:rsidRDefault="00E10687">
    <w:pPr>
      <w:spacing w:after="0"/>
      <w:jc w:val="center"/>
    </w:pPr>
    <w:r>
      <w:rPr>
        <w:b/>
        <w:bCs/>
        <w:color w:val="666666"/>
        <w:sz w:val="14"/>
        <w:szCs w:val="14"/>
      </w:rPr>
      <w:t xml:space="preserve">Page </w:t>
    </w:r>
    <w:r>
      <w:rPr>
        <w:b/>
        <w:bCs/>
        <w:color w:val="666666"/>
        <w:sz w:val="14"/>
        <w:szCs w:val="14"/>
      </w:rPr>
      <w:fldChar w:fldCharType="begin"/>
    </w:r>
    <w:r>
      <w:rPr>
        <w:b/>
        <w:bCs/>
        <w:color w:val="666666"/>
        <w:sz w:val="14"/>
        <w:szCs w:val="14"/>
      </w:rPr>
      <w:instrText>PAGE</w:instrText>
    </w:r>
    <w:r>
      <w:rPr>
        <w:b/>
        <w:bCs/>
        <w:color w:val="666666"/>
        <w:sz w:val="14"/>
        <w:szCs w:val="14"/>
      </w:rPr>
      <w:fldChar w:fldCharType="separate"/>
    </w:r>
    <w:r w:rsidR="00C4212E">
      <w:rPr>
        <w:b/>
        <w:bCs/>
        <w:noProof/>
        <w:color w:val="666666"/>
        <w:sz w:val="14"/>
        <w:szCs w:val="14"/>
      </w:rPr>
      <w:t>1</w:t>
    </w:r>
    <w:r>
      <w:rPr>
        <w:b/>
        <w:bCs/>
        <w:color w:val="666666"/>
        <w:sz w:val="14"/>
        <w:szCs w:val="14"/>
      </w:rPr>
      <w:fldChar w:fldCharType="end"/>
    </w:r>
    <w:r>
      <w:rPr>
        <w:b/>
        <w:bCs/>
        <w:color w:val="666666"/>
        <w:sz w:val="14"/>
        <w:szCs w:val="14"/>
      </w:rPr>
      <w:t xml:space="preserve"> of </w:t>
    </w:r>
    <w:r>
      <w:rPr>
        <w:b/>
        <w:bCs/>
        <w:color w:val="666666"/>
        <w:sz w:val="14"/>
        <w:szCs w:val="14"/>
      </w:rPr>
      <w:fldChar w:fldCharType="begin"/>
    </w:r>
    <w:r>
      <w:rPr>
        <w:b/>
        <w:bCs/>
        <w:color w:val="666666"/>
        <w:sz w:val="14"/>
        <w:szCs w:val="14"/>
      </w:rPr>
      <w:instrText>NUMPAGES</w:instrText>
    </w:r>
    <w:r>
      <w:rPr>
        <w:b/>
        <w:bCs/>
        <w:color w:val="666666"/>
        <w:sz w:val="14"/>
        <w:szCs w:val="14"/>
      </w:rPr>
      <w:fldChar w:fldCharType="separate"/>
    </w:r>
    <w:r w:rsidR="00C4212E">
      <w:rPr>
        <w:b/>
        <w:bCs/>
        <w:noProof/>
        <w:color w:val="666666"/>
        <w:sz w:val="14"/>
        <w:szCs w:val="14"/>
      </w:rPr>
      <w:t>2</w:t>
    </w:r>
    <w:r>
      <w:rPr>
        <w:b/>
        <w:bCs/>
        <w:color w:val="666666"/>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4DD3C" w14:textId="77777777" w:rsidR="00D31FE0" w:rsidRDefault="00D31FE0">
      <w:pPr>
        <w:spacing w:after="0"/>
      </w:pPr>
      <w:r>
        <w:separator/>
      </w:r>
    </w:p>
  </w:footnote>
  <w:footnote w:type="continuationSeparator" w:id="0">
    <w:p w14:paraId="7926A2A6" w14:textId="77777777" w:rsidR="00D31FE0" w:rsidRDefault="00D31F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CB13" w14:textId="77777777" w:rsidR="00EE1A9C" w:rsidRDefault="00E10687">
    <w:pPr>
      <w:pBdr>
        <w:bottom w:val="single" w:sz="2" w:space="4" w:color="00447C"/>
      </w:pBdr>
    </w:pPr>
    <w:r>
      <w:rPr>
        <w:b/>
        <w:bCs/>
        <w:color w:val="00447C"/>
        <w:sz w:val="16"/>
        <w:szCs w:val="16"/>
      </w:rPr>
      <w:t xml:space="preserve">SECTION 07 05 </w:t>
    </w:r>
    <w:r>
      <w:rPr>
        <w:b/>
        <w:bCs/>
        <w:color w:val="00447C"/>
        <w:sz w:val="16"/>
        <w:szCs w:val="16"/>
      </w:rPr>
      <w:t>43.05  |  STRUCTURAL THERMAL FRAMING FOR WINDOWS AND OPENINGS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2C74"/>
    <w:multiLevelType w:val="hybridMultilevel"/>
    <w:tmpl w:val="33C09DB0"/>
    <w:lvl w:ilvl="0" w:tplc="1A440C5A">
      <w:start w:val="1"/>
      <w:numFmt w:val="bullet"/>
      <w:lvlText w:val="●"/>
      <w:lvlJc w:val="left"/>
      <w:pPr>
        <w:ind w:left="720" w:hanging="360"/>
      </w:pPr>
    </w:lvl>
    <w:lvl w:ilvl="1" w:tplc="14DEF710">
      <w:start w:val="1"/>
      <w:numFmt w:val="bullet"/>
      <w:lvlText w:val="○"/>
      <w:lvlJc w:val="left"/>
      <w:pPr>
        <w:ind w:left="1440" w:hanging="360"/>
      </w:pPr>
    </w:lvl>
    <w:lvl w:ilvl="2" w:tplc="DCFA1F00">
      <w:start w:val="1"/>
      <w:numFmt w:val="bullet"/>
      <w:lvlText w:val="■"/>
      <w:lvlJc w:val="left"/>
      <w:pPr>
        <w:ind w:left="2160" w:hanging="360"/>
      </w:pPr>
    </w:lvl>
    <w:lvl w:ilvl="3" w:tplc="B3F68E1C">
      <w:start w:val="1"/>
      <w:numFmt w:val="bullet"/>
      <w:lvlText w:val="●"/>
      <w:lvlJc w:val="left"/>
      <w:pPr>
        <w:ind w:left="2880" w:hanging="360"/>
      </w:pPr>
    </w:lvl>
    <w:lvl w:ilvl="4" w:tplc="2D486C42">
      <w:start w:val="1"/>
      <w:numFmt w:val="bullet"/>
      <w:lvlText w:val="○"/>
      <w:lvlJc w:val="left"/>
      <w:pPr>
        <w:ind w:left="3600" w:hanging="360"/>
      </w:pPr>
    </w:lvl>
    <w:lvl w:ilvl="5" w:tplc="98F0BAAE">
      <w:start w:val="1"/>
      <w:numFmt w:val="bullet"/>
      <w:lvlText w:val="■"/>
      <w:lvlJc w:val="left"/>
      <w:pPr>
        <w:ind w:left="4320" w:hanging="360"/>
      </w:pPr>
    </w:lvl>
    <w:lvl w:ilvl="6" w:tplc="44B8A25E">
      <w:start w:val="1"/>
      <w:numFmt w:val="bullet"/>
      <w:lvlText w:val="●"/>
      <w:lvlJc w:val="left"/>
      <w:pPr>
        <w:ind w:left="5040" w:hanging="360"/>
      </w:pPr>
    </w:lvl>
    <w:lvl w:ilvl="7" w:tplc="7DDE4396">
      <w:start w:val="1"/>
      <w:numFmt w:val="bullet"/>
      <w:lvlText w:val="●"/>
      <w:lvlJc w:val="left"/>
      <w:pPr>
        <w:ind w:left="5760" w:hanging="360"/>
      </w:pPr>
    </w:lvl>
    <w:lvl w:ilvl="8" w:tplc="3AF402C6">
      <w:start w:val="1"/>
      <w:numFmt w:val="bullet"/>
      <w:lvlText w:val="●"/>
      <w:lvlJc w:val="left"/>
      <w:pPr>
        <w:ind w:left="6480" w:hanging="360"/>
      </w:pPr>
    </w:lvl>
  </w:abstractNum>
  <w:num w:numId="1" w16cid:durableId="7654658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A9C"/>
    <w:rsid w:val="008548E6"/>
    <w:rsid w:val="00AB78F4"/>
    <w:rsid w:val="00C4212E"/>
    <w:rsid w:val="00D31FE0"/>
    <w:rsid w:val="00E10687"/>
    <w:rsid w:val="00E40240"/>
    <w:rsid w:val="00EE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05267"/>
  <w15:docId w15:val="{58ED3689-767B-47DC-AFB5-7A4B1D3A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w:eastAsia="Helvetica" w:hAnsi="Helvetica" w:cs="Helvetica"/>
        <w:color w:val="333333"/>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0"/>
    </w:pPr>
  </w:style>
  <w:style w:type="paragraph" w:styleId="Heading1">
    <w:name w:val="heading 1"/>
    <w:basedOn w:val="Normal"/>
    <w:next w:val="Normal"/>
    <w:uiPriority w:val="9"/>
    <w:qFormat/>
    <w:pPr>
      <w:outlineLvl w:val="0"/>
    </w:pPr>
    <w:rPr>
      <w:color w:val="2E74B5"/>
      <w:sz w:val="32"/>
      <w:szCs w:val="32"/>
    </w:rPr>
  </w:style>
  <w:style w:type="paragraph" w:styleId="Heading2">
    <w:name w:val="heading 2"/>
    <w:basedOn w:val="Normal"/>
    <w:next w:val="Normal"/>
    <w:uiPriority w:val="9"/>
    <w:semiHidden/>
    <w:unhideWhenUsed/>
    <w:qFormat/>
    <w:pPr>
      <w:outlineLvl w:val="1"/>
    </w:pPr>
    <w:rPr>
      <w:color w:val="2E74B5"/>
      <w:sz w:val="26"/>
      <w:szCs w:val="26"/>
    </w:rPr>
  </w:style>
  <w:style w:type="paragraph" w:styleId="Heading3">
    <w:name w:val="heading 3"/>
    <w:basedOn w:val="Normal"/>
    <w:next w:val="Normal"/>
    <w:uiPriority w:val="9"/>
    <w:semiHidden/>
    <w:unhideWhenUsed/>
    <w:qFormat/>
    <w:pPr>
      <w:outlineLvl w:val="2"/>
    </w:pPr>
    <w:rPr>
      <w:color w:val="1F4D78"/>
      <w:sz w:val="24"/>
      <w:szCs w:val="24"/>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after="0"/>
    </w:pPr>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4212E"/>
    <w:pPr>
      <w:tabs>
        <w:tab w:val="center" w:pos="4680"/>
        <w:tab w:val="right" w:pos="9360"/>
      </w:tabs>
      <w:spacing w:after="0"/>
    </w:pPr>
  </w:style>
  <w:style w:type="character" w:customStyle="1" w:styleId="HeaderChar">
    <w:name w:val="Header Char"/>
    <w:basedOn w:val="DefaultParagraphFont"/>
    <w:link w:val="Header"/>
    <w:uiPriority w:val="99"/>
    <w:rsid w:val="00C4212E"/>
  </w:style>
  <w:style w:type="paragraph" w:styleId="Footer">
    <w:name w:val="footer"/>
    <w:basedOn w:val="Normal"/>
    <w:link w:val="FooterChar"/>
    <w:uiPriority w:val="99"/>
    <w:unhideWhenUsed/>
    <w:rsid w:val="00C4212E"/>
    <w:pPr>
      <w:tabs>
        <w:tab w:val="center" w:pos="4680"/>
        <w:tab w:val="right" w:pos="9360"/>
      </w:tabs>
      <w:spacing w:after="0"/>
    </w:pPr>
  </w:style>
  <w:style w:type="character" w:customStyle="1" w:styleId="FooterChar">
    <w:name w:val="Footer Char"/>
    <w:basedOn w:val="DefaultParagraphFont"/>
    <w:link w:val="Footer"/>
    <w:uiPriority w:val="99"/>
    <w:rsid w:val="00C42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4249</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Kevin Mlutkowski</cp:lastModifiedBy>
  <cp:revision>2</cp:revision>
  <dcterms:created xsi:type="dcterms:W3CDTF">2026-06-03T17:44:00Z</dcterms:created>
  <dcterms:modified xsi:type="dcterms:W3CDTF">2026-06-03T17:44:00Z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d84db8d1-640e-40da-b7d9-f87ea87a5dbb</vt:lpwstr>
  </property>
</Properties>
</file>