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2055" w14:textId="77777777" w:rsidR="005D7F35" w:rsidRDefault="00FB2FD1">
      <w:pPr>
        <w:spacing w:after="40"/>
        <w:jc w:val="center"/>
      </w:pPr>
      <w:r>
        <w:rPr>
          <w:b/>
          <w:bCs/>
          <w:color w:val="00447C"/>
          <w:sz w:val="40"/>
          <w:szCs w:val="40"/>
        </w:rPr>
        <w:t>GREENGIRT XO™</w:t>
      </w:r>
    </w:p>
    <w:p w14:paraId="216802B8" w14:textId="77777777" w:rsidR="005D7F35" w:rsidRDefault="00FB2FD1">
      <w:pPr>
        <w:spacing w:after="60"/>
        <w:jc w:val="center"/>
      </w:pPr>
      <w:r>
        <w:rPr>
          <w:b/>
          <w:bCs/>
          <w:color w:val="00447C"/>
          <w:sz w:val="26"/>
          <w:szCs w:val="26"/>
        </w:rPr>
        <w:t>SPECIFICATION INTRODUCTION</w:t>
      </w:r>
    </w:p>
    <w:p w14:paraId="2E3D1C45" w14:textId="77777777" w:rsidR="005D7F35" w:rsidRDefault="00FB2FD1">
      <w:pPr>
        <w:spacing w:after="40"/>
      </w:pPr>
      <w:r>
        <w:rPr>
          <w:i/>
          <w:iCs/>
          <w:color w:val="666666"/>
        </w:rPr>
        <w:t>Section 07 05 43.05: Structural Thermal Framing for Windows and Openings</w:t>
      </w:r>
    </w:p>
    <w:p w14:paraId="79724B38" w14:textId="77777777" w:rsidR="005D7F35" w:rsidRDefault="00FB2FD1">
      <w:pPr>
        <w:spacing w:after="80"/>
      </w:pPr>
      <w:r>
        <w:rPr>
          <w:i/>
          <w:iCs/>
          <w:color w:val="666666"/>
        </w:rPr>
        <w:t>A Companion Document for Architects, Specifiers, and Design Professionals</w:t>
      </w:r>
    </w:p>
    <w:p w14:paraId="30BCA07A" w14:textId="77777777" w:rsidR="005D7F35" w:rsidRDefault="00FB2FD1">
      <w:pPr>
        <w:spacing w:before="100" w:after="40"/>
      </w:pPr>
      <w:r>
        <w:rPr>
          <w:b/>
          <w:bCs/>
          <w:color w:val="00447C"/>
          <w:sz w:val="20"/>
          <w:szCs w:val="20"/>
        </w:rPr>
        <w:t>Document: A2P-M-XO-GDE01-v3.4 • 2026-05-21</w:t>
      </w:r>
    </w:p>
    <w:p w14:paraId="4F6528FC" w14:textId="77777777" w:rsidR="005D7F35" w:rsidRDefault="00FB2FD1">
      <w:r>
        <w:rPr>
          <w:b/>
          <w:bCs/>
          <w:color w:val="00447C"/>
          <w:sz w:val="20"/>
          <w:szCs w:val="20"/>
        </w:rPr>
        <w:t>Owner: Marketing</w:t>
      </w:r>
    </w:p>
    <w:p w14:paraId="76E21C04" w14:textId="77777777" w:rsidR="005D7F35" w:rsidRDefault="005D7F35">
      <w:pPr>
        <w:pBdr>
          <w:bottom w:val="single" w:sz="2" w:space="1" w:color="CCCCCC"/>
        </w:pBdr>
        <w:spacing w:before="120"/>
      </w:pPr>
    </w:p>
    <w:p w14:paraId="5B59C8CD" w14:textId="77777777" w:rsidR="005D7F35" w:rsidRDefault="00FB2FD1">
      <w:pPr>
        <w:pBdr>
          <w:bottom w:val="single" w:sz="4" w:space="4" w:color="00447C"/>
        </w:pBdr>
        <w:spacing w:before="100" w:after="80"/>
      </w:pPr>
      <w:r>
        <w:rPr>
          <w:b/>
          <w:bCs/>
          <w:color w:val="00447C"/>
          <w:sz w:val="20"/>
          <w:szCs w:val="20"/>
        </w:rPr>
        <w:t>THE PROBLEM: THERMAL BRIDGING AT WINDOW OPENINGS</w:t>
      </w:r>
    </w:p>
    <w:p w14:paraId="1E794A59" w14:textId="77777777" w:rsidR="005D7F35" w:rsidRDefault="00FB2FD1">
      <w:pPr>
        <w:spacing w:after="100"/>
      </w:pPr>
      <w:r>
        <w:t>Windows are one of the most thermally vulnerable points in any building envelope. Even with high-performance continuous insulation (CI) in the field of wall, thermal bridging at fenestration perimeters can compromise 20–40% of the wall’s overall thermal performance.</w:t>
      </w:r>
    </w:p>
    <w:p w14:paraId="2E26050F" w14:textId="77777777" w:rsidR="005D7F35" w:rsidRDefault="00FB2FD1">
      <w:pPr>
        <w:spacing w:after="100"/>
      </w:pPr>
      <w:r>
        <w:t>Traditional framing methods create direct thermal pathways from interior to exterior. Metal angles and steel lintels conduct heat directly through the insulation plane. Wood bucks rot when exposed to moisture. Plastic-only systems suffer creep under sustained loading and lack non-combustible structural support. The result: buildings that meet R-value targets on paper but underperform in real-world conditions — and building owners who pay the price in higher energy bills, oversized HVAC systems, and condensation risk at every window.</w:t>
      </w:r>
    </w:p>
    <w:p w14:paraId="039CEA4B" w14:textId="77777777" w:rsidR="005D7F35" w:rsidRDefault="00FB2FD1">
      <w:pPr>
        <w:pBdr>
          <w:bottom w:val="single" w:sz="4" w:space="4" w:color="00447C"/>
        </w:pBdr>
        <w:spacing w:before="180" w:after="80"/>
      </w:pPr>
      <w:r>
        <w:rPr>
          <w:b/>
          <w:bCs/>
          <w:color w:val="00447C"/>
          <w:sz w:val="20"/>
          <w:szCs w:val="20"/>
        </w:rPr>
        <w:t>THE SOLUTION: GREENGIRT XO</w:t>
      </w:r>
    </w:p>
    <w:p w14:paraId="35D4EA8E" w14:textId="77777777" w:rsidR="005D7F35" w:rsidRDefault="00FB2FD1">
      <w:pPr>
        <w:spacing w:after="100"/>
      </w:pPr>
      <w:r>
        <w:t>GreenGirt XO is a thermally-broken, structurally-rated fenestration support system of composite metal hybrid construction that eliminates thermal bridging at fenestration perimeters by aligning the window thermal plane with the continuous insulation system. CMH technology combines high-strength, thermally-isolating FRP core material with integrated non-combustible metal flanges — delivering what neither material achieves alone: a structural system that is both thermally efficient and provides non-combustible load-bearing support. Available in 2” through 6” depths.</w:t>
      </w:r>
    </w:p>
    <w:p w14:paraId="443722FA" w14:textId="77777777" w:rsidR="005D7F35" w:rsidRDefault="00FB2FD1">
      <w:pPr>
        <w:spacing w:after="100"/>
      </w:pPr>
      <w:r>
        <w:t>The system’s modular aluminum interface flanges connect to CMH framing members via a factory-designed keyway channel, providing structural load distribution, metal fastener-receiving substrate, weather seal surface, and configurability across all opening types — all from a single manufacturer under a single warranty.</w:t>
      </w:r>
    </w:p>
    <w:p w14:paraId="12459F0C" w14:textId="77777777" w:rsidR="005D7F35" w:rsidRDefault="00FB2FD1">
      <w:pPr>
        <w:pBdr>
          <w:left w:val="single" w:sz="12" w:space="8" w:color="00447C"/>
        </w:pBdr>
        <w:spacing w:before="100" w:after="100"/>
        <w:ind w:left="560"/>
      </w:pPr>
      <w:r>
        <w:rPr>
          <w:b/>
          <w:bCs/>
          <w:i/>
          <w:iCs/>
          <w:color w:val="00447C"/>
        </w:rPr>
        <w:t>14× LOWER THERMAL BRIDGING than traditional steel angles at window perimeters Psi 0.021 vs. 0.292 Btu/hr·ft·°F  |  93–97% assembly efficiency  |  Source: RDH Building Science / ASHRAE 90.1-2022</w:t>
      </w:r>
    </w:p>
    <w:p w14:paraId="13F35B1D" w14:textId="77777777" w:rsidR="005D7F35" w:rsidRDefault="00FB2FD1">
      <w:pPr>
        <w:pBdr>
          <w:bottom w:val="single" w:sz="4" w:space="4" w:color="00447C"/>
        </w:pBdr>
        <w:spacing w:before="180" w:after="80"/>
      </w:pPr>
      <w:r>
        <w:rPr>
          <w:b/>
          <w:bCs/>
          <w:color w:val="00447C"/>
          <w:sz w:val="20"/>
          <w:szCs w:val="20"/>
        </w:rPr>
        <w:t>THE BUSINESS CASE: WHAT THERMAL BRIDGING COSTS YOUR CLIENT</w:t>
      </w:r>
    </w:p>
    <w:p w14:paraId="79FB3382" w14:textId="77777777" w:rsidR="005D7F35" w:rsidRDefault="00FB2FD1">
      <w:pPr>
        <w:spacing w:after="100"/>
      </w:pPr>
      <w:r>
        <w:t>The technical requirements exist for a reason your clients understand: dollars, risk, and liability. The financial impact of thermal bridging at fenestration perimeters is not marginal — it is often the single largest source of uncontrolled heat loss in a wall assembly.</w:t>
      </w:r>
    </w:p>
    <w:p w14:paraId="34F40979" w14:textId="77777777" w:rsidR="005D7F35" w:rsidRDefault="00FB2FD1">
      <w:pPr>
        <w:spacing w:before="120" w:after="60"/>
      </w:pPr>
      <w:r>
        <w:rPr>
          <w:b/>
          <w:bCs/>
          <w:color w:val="00447C"/>
        </w:rPr>
        <w:t>Sample Project Impact</w:t>
      </w:r>
    </w:p>
    <w:p w14:paraId="111C3B8E" w14:textId="77777777" w:rsidR="005D7F35" w:rsidRDefault="00FB2FD1">
      <w:pPr>
        <w:spacing w:after="80"/>
      </w:pPr>
      <w:r>
        <w:rPr>
          <w:i/>
          <w:iCs/>
          <w:color w:val="666666"/>
        </w:rPr>
        <w:t>50,000 sq ft  |  Chicago, CZ5  |  Steel-Framed  |  CI R-20  |  30% WWR  |  4” XO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60"/>
        <w:gridCol w:w="1620"/>
        <w:gridCol w:w="1620"/>
        <w:gridCol w:w="3060"/>
      </w:tblGrid>
      <w:tr w:rsidR="005D7F35" w14:paraId="023DEEB7" w14:textId="77777777" w:rsidTr="00FB22A9">
        <w:tc>
          <w:tcPr>
            <w:tcW w:w="306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03256CD7" w14:textId="77777777" w:rsidR="005D7F35" w:rsidRPr="00FB22A9" w:rsidRDefault="00FB2FD1">
            <w:pPr>
              <w:rPr>
                <w:color w:val="FFFFFF" w:themeColor="background1"/>
              </w:rPr>
            </w:pPr>
            <w:r w:rsidRPr="00FB22A9">
              <w:rPr>
                <w:b/>
                <w:bCs/>
                <w:color w:val="FFFFFF" w:themeColor="background1"/>
                <w:sz w:val="15"/>
                <w:szCs w:val="15"/>
              </w:rPr>
              <w:t>Metric</w:t>
            </w:r>
          </w:p>
        </w:tc>
        <w:tc>
          <w:tcPr>
            <w:tcW w:w="162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4DCD14B3" w14:textId="77777777" w:rsidR="005D7F35" w:rsidRPr="00FB22A9" w:rsidRDefault="00FB2FD1">
            <w:pPr>
              <w:rPr>
                <w:color w:val="FFFFFF" w:themeColor="background1"/>
              </w:rPr>
            </w:pPr>
            <w:r w:rsidRPr="00FB22A9">
              <w:rPr>
                <w:b/>
                <w:bCs/>
                <w:color w:val="FFFFFF" w:themeColor="background1"/>
                <w:sz w:val="15"/>
                <w:szCs w:val="15"/>
              </w:rPr>
              <w:t>Legacy (Steel)</w:t>
            </w:r>
          </w:p>
        </w:tc>
        <w:tc>
          <w:tcPr>
            <w:tcW w:w="162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4F9FF165" w14:textId="77777777" w:rsidR="005D7F35" w:rsidRPr="00FB22A9" w:rsidRDefault="00FB2FD1">
            <w:pPr>
              <w:rPr>
                <w:color w:val="FFFFFF" w:themeColor="background1"/>
              </w:rPr>
            </w:pPr>
            <w:r w:rsidRPr="00FB22A9">
              <w:rPr>
                <w:b/>
                <w:bCs/>
                <w:color w:val="FFFFFF" w:themeColor="background1"/>
                <w:sz w:val="15"/>
                <w:szCs w:val="15"/>
              </w:rPr>
              <w:t>GreenGirt XO</w:t>
            </w:r>
          </w:p>
        </w:tc>
        <w:tc>
          <w:tcPr>
            <w:tcW w:w="306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45FC7C6B" w14:textId="77777777" w:rsidR="005D7F35" w:rsidRPr="00FB22A9" w:rsidRDefault="00FB2FD1">
            <w:pPr>
              <w:rPr>
                <w:color w:val="FFFFFF" w:themeColor="background1"/>
              </w:rPr>
            </w:pPr>
            <w:r w:rsidRPr="00FB22A9">
              <w:rPr>
                <w:b/>
                <w:bCs/>
                <w:color w:val="FFFFFF" w:themeColor="background1"/>
                <w:sz w:val="15"/>
                <w:szCs w:val="15"/>
              </w:rPr>
              <w:t>Difference</w:t>
            </w:r>
          </w:p>
        </w:tc>
      </w:tr>
      <w:tr w:rsidR="005D7F35" w14:paraId="202777CE" w14:textId="77777777">
        <w:tc>
          <w:tcPr>
            <w:tcW w:w="30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CFB8DCB" w14:textId="77777777" w:rsidR="005D7F35" w:rsidRDefault="00FB2FD1">
            <w:r>
              <w:rPr>
                <w:sz w:val="15"/>
                <w:szCs w:val="15"/>
              </w:rPr>
              <w:t>Psi at sill/head/jamb (Btu/hr·ft·°F)</w:t>
            </w:r>
          </w:p>
        </w:tc>
        <w:tc>
          <w:tcPr>
            <w:tcW w:w="16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97B57C5" w14:textId="77777777" w:rsidR="005D7F35" w:rsidRDefault="00FB2FD1">
            <w:r>
              <w:rPr>
                <w:sz w:val="15"/>
                <w:szCs w:val="15"/>
              </w:rPr>
              <w:t>0.29</w:t>
            </w:r>
          </w:p>
        </w:tc>
        <w:tc>
          <w:tcPr>
            <w:tcW w:w="16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BE32C29" w14:textId="77777777" w:rsidR="005D7F35" w:rsidRDefault="00FB2FD1">
            <w:r>
              <w:rPr>
                <w:sz w:val="15"/>
                <w:szCs w:val="15"/>
              </w:rPr>
              <w:t>0.021</w:t>
            </w:r>
          </w:p>
        </w:tc>
        <w:tc>
          <w:tcPr>
            <w:tcW w:w="30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521E3A8" w14:textId="77777777" w:rsidR="005D7F35" w:rsidRDefault="00FB2FD1">
            <w:r>
              <w:rPr>
                <w:sz w:val="15"/>
                <w:szCs w:val="15"/>
              </w:rPr>
              <w:t>93% reduction</w:t>
            </w:r>
          </w:p>
        </w:tc>
      </w:tr>
      <w:tr w:rsidR="005D7F35" w14:paraId="6692152E" w14:textId="77777777">
        <w:tc>
          <w:tcPr>
            <w:tcW w:w="30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52BD029" w14:textId="77777777" w:rsidR="005D7F35" w:rsidRDefault="00FB2FD1">
            <w:r>
              <w:rPr>
                <w:sz w:val="15"/>
                <w:szCs w:val="15"/>
              </w:rPr>
              <w:t>Total thermal bridge loss (Btu/hr·°F)</w:t>
            </w:r>
          </w:p>
        </w:tc>
        <w:tc>
          <w:tcPr>
            <w:tcW w:w="16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CDD82D3" w14:textId="77777777" w:rsidR="005D7F35" w:rsidRDefault="00FB2FD1">
            <w:r>
              <w:rPr>
                <w:sz w:val="15"/>
                <w:szCs w:val="15"/>
              </w:rPr>
              <w:t>3,942</w:t>
            </w:r>
          </w:p>
        </w:tc>
        <w:tc>
          <w:tcPr>
            <w:tcW w:w="16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8F08887" w14:textId="77777777" w:rsidR="005D7F35" w:rsidRDefault="00FB2FD1">
            <w:r>
              <w:rPr>
                <w:sz w:val="15"/>
                <w:szCs w:val="15"/>
              </w:rPr>
              <w:t>307</w:t>
            </w:r>
          </w:p>
        </w:tc>
        <w:tc>
          <w:tcPr>
            <w:tcW w:w="30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EB2A5DE" w14:textId="77777777" w:rsidR="005D7F35" w:rsidRDefault="00FB2FD1">
            <w:r>
              <w:rPr>
                <w:sz w:val="15"/>
                <w:szCs w:val="15"/>
              </w:rPr>
              <w:t>92% reduction</w:t>
            </w:r>
          </w:p>
        </w:tc>
      </w:tr>
      <w:tr w:rsidR="005D7F35" w14:paraId="5845F49E" w14:textId="77777777">
        <w:tc>
          <w:tcPr>
            <w:tcW w:w="30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D437642" w14:textId="77777777" w:rsidR="005D7F35" w:rsidRDefault="00FB2FD1">
            <w:r>
              <w:rPr>
                <w:sz w:val="15"/>
                <w:szCs w:val="15"/>
              </w:rPr>
              <w:t>Assembly U-value</w:t>
            </w:r>
          </w:p>
        </w:tc>
        <w:tc>
          <w:tcPr>
            <w:tcW w:w="16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01C6EB5" w14:textId="77777777" w:rsidR="005D7F35" w:rsidRDefault="00FB2FD1">
            <w:r>
              <w:rPr>
                <w:sz w:val="15"/>
                <w:szCs w:val="15"/>
              </w:rPr>
              <w:t>0.2226</w:t>
            </w:r>
          </w:p>
        </w:tc>
        <w:tc>
          <w:tcPr>
            <w:tcW w:w="16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DD00075" w14:textId="77777777" w:rsidR="005D7F35" w:rsidRDefault="00FB2FD1">
            <w:r>
              <w:rPr>
                <w:sz w:val="15"/>
                <w:szCs w:val="15"/>
              </w:rPr>
              <w:t>0.1513</w:t>
            </w:r>
          </w:p>
        </w:tc>
        <w:tc>
          <w:tcPr>
            <w:tcW w:w="30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FAE2ECA" w14:textId="77777777" w:rsidR="005D7F35" w:rsidRDefault="00FB2FD1">
            <w:r>
              <w:rPr>
                <w:sz w:val="15"/>
                <w:szCs w:val="15"/>
              </w:rPr>
              <w:t>32% lower</w:t>
            </w:r>
          </w:p>
        </w:tc>
      </w:tr>
      <w:tr w:rsidR="005D7F35" w14:paraId="50F7674F" w14:textId="77777777">
        <w:tc>
          <w:tcPr>
            <w:tcW w:w="30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EC62758" w14:textId="77777777" w:rsidR="005D7F35" w:rsidRDefault="00FB2FD1">
            <w:r>
              <w:rPr>
                <w:sz w:val="15"/>
                <w:szCs w:val="15"/>
              </w:rPr>
              <w:t>Annual energy cost savings</w:t>
            </w:r>
          </w:p>
        </w:tc>
        <w:tc>
          <w:tcPr>
            <w:tcW w:w="16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2E01B8E" w14:textId="77777777" w:rsidR="005D7F35" w:rsidRDefault="00FB2FD1">
            <w:r>
              <w:rPr>
                <w:sz w:val="15"/>
                <w:szCs w:val="15"/>
              </w:rPr>
              <w:t>$30,461 / year</w:t>
            </w:r>
          </w:p>
        </w:tc>
        <w:tc>
          <w:tcPr>
            <w:tcW w:w="16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A8E0674" w14:textId="77777777" w:rsidR="005D7F35" w:rsidRDefault="005D7F35"/>
        </w:tc>
        <w:tc>
          <w:tcPr>
            <w:tcW w:w="30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59A713F" w14:textId="77777777" w:rsidR="005D7F35" w:rsidRDefault="005D7F35"/>
        </w:tc>
      </w:tr>
      <w:tr w:rsidR="005D7F35" w14:paraId="244720BE" w14:textId="77777777">
        <w:tc>
          <w:tcPr>
            <w:tcW w:w="30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E433158" w14:textId="77777777" w:rsidR="005D7F35" w:rsidRDefault="00FB2FD1">
            <w:r>
              <w:rPr>
                <w:sz w:val="15"/>
                <w:szCs w:val="15"/>
              </w:rPr>
              <w:t>20-year lifecycle savings</w:t>
            </w:r>
          </w:p>
        </w:tc>
        <w:tc>
          <w:tcPr>
            <w:tcW w:w="16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2C8C92C" w14:textId="77777777" w:rsidR="005D7F35" w:rsidRDefault="00FB2FD1">
            <w:r>
              <w:rPr>
                <w:sz w:val="15"/>
                <w:szCs w:val="15"/>
              </w:rPr>
              <w:t>$1,007,224</w:t>
            </w:r>
          </w:p>
        </w:tc>
        <w:tc>
          <w:tcPr>
            <w:tcW w:w="16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BDA6C68" w14:textId="77777777" w:rsidR="005D7F35" w:rsidRDefault="005D7F35"/>
        </w:tc>
        <w:tc>
          <w:tcPr>
            <w:tcW w:w="30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57DC04C" w14:textId="77777777" w:rsidR="005D7F35" w:rsidRDefault="005D7F35"/>
        </w:tc>
      </w:tr>
    </w:tbl>
    <w:p w14:paraId="57BFD989" w14:textId="2D58B3B5" w:rsidR="005D7F35" w:rsidRDefault="00FB2FD1">
      <w:pPr>
        <w:spacing w:before="60" w:after="80"/>
      </w:pPr>
      <w:r>
        <w:rPr>
          <w:i/>
          <w:iCs/>
          <w:color w:val="666666"/>
        </w:rPr>
        <w:t xml:space="preserve">Data source: GreenGirt XO </w:t>
      </w:r>
      <w:r w:rsidR="00562C03">
        <w:rPr>
          <w:i/>
          <w:iCs/>
          <w:color w:val="666666"/>
        </w:rPr>
        <w:t>Building Energy</w:t>
      </w:r>
      <w:r>
        <w:rPr>
          <w:i/>
          <w:iCs/>
          <w:color w:val="666666"/>
        </w:rPr>
        <w:t xml:space="preserve"> Calculator at www.GreenGirt.com. Run your own project-specific analysis.</w:t>
      </w:r>
    </w:p>
    <w:p w14:paraId="760945AB" w14:textId="77777777" w:rsidR="005D7F35" w:rsidRDefault="00FB2FD1">
      <w:pPr>
        <w:spacing w:before="60" w:after="100"/>
      </w:pPr>
      <w:r>
        <w:rPr>
          <w:b/>
          <w:bCs/>
        </w:rPr>
        <w:t>These numbers matter most when someone proposes a substitution. By the time a substitution request arrives during bidding, the energy model has been submitted, the HVAC system has been sized, and the mechanical contractor has bid. Accepting a lower-performing product doesn’t just change one line item — it potentially invalidates the energy code compliance path, requires HVAC resizing, adds $30,000+ per year in operating costs to the owner, increases condensation risk at interior surfaces, and triggers 4–8 weeks of redesign and re-bidding. The cost of proving a substitution works almost always exceeds whatever the GC hoped to save.</w:t>
      </w:r>
    </w:p>
    <w:p w14:paraId="5CC29659" w14:textId="77777777" w:rsidR="005D7F35" w:rsidRDefault="00FB2FD1">
      <w:pPr>
        <w:pBdr>
          <w:bottom w:val="single" w:sz="4" w:space="4" w:color="00447C"/>
        </w:pBdr>
        <w:spacing w:before="180" w:after="80"/>
      </w:pPr>
      <w:r>
        <w:rPr>
          <w:b/>
          <w:bCs/>
          <w:color w:val="00447C"/>
          <w:sz w:val="20"/>
          <w:szCs w:val="20"/>
        </w:rPr>
        <w:t>THE SEVEN PERFORMANCE REQUIREMENTS</w:t>
      </w:r>
    </w:p>
    <w:p w14:paraId="300EBD75" w14:textId="77777777" w:rsidR="005D7F35" w:rsidRDefault="00FB2FD1">
      <w:pPr>
        <w:spacing w:after="100"/>
      </w:pPr>
      <w:r>
        <w:lastRenderedPageBreak/>
        <w:t>The GreenGirt XO specification establishes seven interdependent performance requirements. Each addresses a specific failure mode observed in conventional systems. Systems that meet only partial requirements shall not be considered acceptable substitutes.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0"/>
        <w:gridCol w:w="1680"/>
        <w:gridCol w:w="3600"/>
        <w:gridCol w:w="3600"/>
      </w:tblGrid>
      <w:tr w:rsidR="005D7F35" w14:paraId="6240D4BA" w14:textId="77777777" w:rsidTr="00FB22A9">
        <w:tc>
          <w:tcPr>
            <w:tcW w:w="48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40870546" w14:textId="77777777" w:rsidR="005D7F35" w:rsidRPr="00FB22A9" w:rsidRDefault="00FB2FD1">
            <w:pPr>
              <w:rPr>
                <w:color w:val="FFFFFF" w:themeColor="background1"/>
              </w:rPr>
            </w:pPr>
            <w:r w:rsidRPr="00FB22A9">
              <w:rPr>
                <w:b/>
                <w:bCs/>
                <w:color w:val="FFFFFF" w:themeColor="background1"/>
                <w:sz w:val="15"/>
                <w:szCs w:val="15"/>
              </w:rPr>
              <w:t>#</w:t>
            </w:r>
          </w:p>
        </w:tc>
        <w:tc>
          <w:tcPr>
            <w:tcW w:w="168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16E22B1E" w14:textId="77777777" w:rsidR="005D7F35" w:rsidRPr="00FB22A9" w:rsidRDefault="00FB2FD1">
            <w:pPr>
              <w:rPr>
                <w:color w:val="FFFFFF" w:themeColor="background1"/>
              </w:rPr>
            </w:pPr>
            <w:r w:rsidRPr="00FB22A9">
              <w:rPr>
                <w:b/>
                <w:bCs/>
                <w:color w:val="FFFFFF" w:themeColor="background1"/>
                <w:sz w:val="15"/>
                <w:szCs w:val="15"/>
              </w:rPr>
              <w:t>Requirement</w:t>
            </w:r>
          </w:p>
        </w:tc>
        <w:tc>
          <w:tcPr>
            <w:tcW w:w="360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7D9CEBD2" w14:textId="77777777" w:rsidR="005D7F35" w:rsidRPr="00FB22A9" w:rsidRDefault="00FB2FD1">
            <w:pPr>
              <w:rPr>
                <w:color w:val="FFFFFF" w:themeColor="background1"/>
              </w:rPr>
            </w:pPr>
            <w:r w:rsidRPr="00FB22A9">
              <w:rPr>
                <w:b/>
                <w:bCs/>
                <w:color w:val="FFFFFF" w:themeColor="background1"/>
                <w:sz w:val="15"/>
                <w:szCs w:val="15"/>
              </w:rPr>
              <w:t>Threshold</w:t>
            </w:r>
          </w:p>
        </w:tc>
        <w:tc>
          <w:tcPr>
            <w:tcW w:w="360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080FD3E6" w14:textId="77777777" w:rsidR="005D7F35" w:rsidRPr="00FB22A9" w:rsidRDefault="00FB2FD1">
            <w:pPr>
              <w:rPr>
                <w:color w:val="FFFFFF" w:themeColor="background1"/>
              </w:rPr>
            </w:pPr>
            <w:r w:rsidRPr="00FB22A9">
              <w:rPr>
                <w:b/>
                <w:bCs/>
                <w:color w:val="FFFFFF" w:themeColor="background1"/>
                <w:sz w:val="15"/>
                <w:szCs w:val="15"/>
              </w:rPr>
              <w:t>Why It Matters</w:t>
            </w:r>
          </w:p>
        </w:tc>
      </w:tr>
      <w:tr w:rsidR="005D7F35" w14:paraId="53B418EF" w14:textId="77777777">
        <w:tc>
          <w:tcPr>
            <w:tcW w:w="4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C2DC9EC" w14:textId="77777777" w:rsidR="005D7F35" w:rsidRDefault="00FB2FD1">
            <w:r>
              <w:rPr>
                <w:sz w:val="15"/>
                <w:szCs w:val="15"/>
              </w:rPr>
              <w:t>1</w:t>
            </w:r>
          </w:p>
        </w:tc>
        <w:tc>
          <w:tcPr>
            <w:tcW w:w="16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3A84138" w14:textId="77777777" w:rsidR="005D7F35" w:rsidRDefault="00FB2FD1">
            <w:r>
              <w:rPr>
                <w:sz w:val="15"/>
                <w:szCs w:val="15"/>
              </w:rPr>
              <w:t>Thermal Performance</w:t>
            </w:r>
          </w:p>
        </w:tc>
        <w:tc>
          <w:tcPr>
            <w:tcW w:w="36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8DADD21" w14:textId="77777777" w:rsidR="005D7F35" w:rsidRDefault="00FB2FD1">
            <w:r>
              <w:rPr>
                <w:sz w:val="15"/>
                <w:szCs w:val="15"/>
              </w:rPr>
              <w:t>Psi ≤ 0.025 Btu/(hr·ft·°F) [0.043 W/(m·K)] at sill, head, and jamb. Third-party verified per ISO 10211. Wall assembly context disclosed. R-value claims alone not acceptable.</w:t>
            </w:r>
          </w:p>
        </w:tc>
        <w:tc>
          <w:tcPr>
            <w:tcW w:w="36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F622862" w14:textId="77777777" w:rsidR="005D7F35" w:rsidRDefault="00FB2FD1">
            <w:r>
              <w:rPr>
                <w:sz w:val="15"/>
                <w:szCs w:val="15"/>
              </w:rPr>
              <w:t>Quantified metric eliminates vague claims. Products must prove performance with independent, documented data in the wall context that will actually be built.</w:t>
            </w:r>
          </w:p>
        </w:tc>
      </w:tr>
      <w:tr w:rsidR="005D7F35" w14:paraId="6B9F3942" w14:textId="77777777">
        <w:tc>
          <w:tcPr>
            <w:tcW w:w="4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F2D60CA" w14:textId="77777777" w:rsidR="005D7F35" w:rsidRDefault="00FB2FD1">
            <w:r>
              <w:rPr>
                <w:sz w:val="15"/>
                <w:szCs w:val="15"/>
              </w:rPr>
              <w:t>2</w:t>
            </w:r>
          </w:p>
        </w:tc>
        <w:tc>
          <w:tcPr>
            <w:tcW w:w="16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AE708AA" w14:textId="77777777" w:rsidR="005D7F35" w:rsidRDefault="00FB2FD1">
            <w:r>
              <w:rPr>
                <w:sz w:val="15"/>
                <w:szCs w:val="15"/>
              </w:rPr>
              <w:t>Thermal Plane Alignment</w:t>
            </w:r>
          </w:p>
        </w:tc>
        <w:tc>
          <w:tcPr>
            <w:tcW w:w="36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C442F16" w14:textId="77777777" w:rsidR="005D7F35" w:rsidRDefault="00FB2FD1">
            <w:r>
              <w:rPr>
                <w:sz w:val="15"/>
                <w:szCs w:val="15"/>
              </w:rPr>
              <w:t>Outermost glazing flush with or recessed up to 1” inboard of CI exterior face. Shall not extend outboard. Thermal flanking eliminated at all perimeter conditions.</w:t>
            </w:r>
          </w:p>
        </w:tc>
        <w:tc>
          <w:tcPr>
            <w:tcW w:w="36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ECF23D9" w14:textId="77777777" w:rsidR="005D7F35" w:rsidRDefault="00FB2FD1">
            <w:r>
              <w:rPr>
                <w:sz w:val="15"/>
                <w:szCs w:val="15"/>
              </w:rPr>
              <w:t>Misalignment lets heat bypass insulation entirely. Tight alignment tolerance keeps CI continuous in practice, not just on paper.</w:t>
            </w:r>
          </w:p>
        </w:tc>
      </w:tr>
      <w:tr w:rsidR="005D7F35" w14:paraId="20C7387C" w14:textId="77777777">
        <w:tc>
          <w:tcPr>
            <w:tcW w:w="4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6649BE0" w14:textId="77777777" w:rsidR="005D7F35" w:rsidRDefault="00FB2FD1">
            <w:r>
              <w:rPr>
                <w:sz w:val="15"/>
                <w:szCs w:val="15"/>
              </w:rPr>
              <w:t>3</w:t>
            </w:r>
          </w:p>
        </w:tc>
        <w:tc>
          <w:tcPr>
            <w:tcW w:w="16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CBCC6CD" w14:textId="77777777" w:rsidR="005D7F35" w:rsidRDefault="00FB2FD1">
            <w:r>
              <w:rPr>
                <w:sz w:val="15"/>
                <w:szCs w:val="15"/>
              </w:rPr>
              <w:t>Structural Performance</w:t>
            </w:r>
          </w:p>
        </w:tc>
        <w:tc>
          <w:tcPr>
            <w:tcW w:w="36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1238BEE" w14:textId="77777777" w:rsidR="005D7F35" w:rsidRDefault="00FB2FD1">
            <w:r>
              <w:rPr>
                <w:sz w:val="15"/>
                <w:szCs w:val="15"/>
              </w:rPr>
              <w:t>Project-specific PE-stamped calcs. Eccentric cantilever analysis. Anisotropic properties of composite, lumber, and other non-metal materials accounted for. All fasteners into metal backers or bolted connections only.</w:t>
            </w:r>
          </w:p>
        </w:tc>
        <w:tc>
          <w:tcPr>
            <w:tcW w:w="36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BBBDAD6" w14:textId="77777777" w:rsidR="005D7F35" w:rsidRDefault="00FB2FD1">
            <w:r>
              <w:rPr>
                <w:sz w:val="15"/>
                <w:szCs w:val="15"/>
              </w:rPr>
              <w:t>Real-world loading is eccentric, not uniform. Composites and lumber require directional property analysis. Fasteners must terminate in metal, not in composite or FRP.</w:t>
            </w:r>
          </w:p>
        </w:tc>
      </w:tr>
      <w:tr w:rsidR="005D7F35" w14:paraId="745B4618" w14:textId="77777777">
        <w:tc>
          <w:tcPr>
            <w:tcW w:w="4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5CEA087" w14:textId="77777777" w:rsidR="005D7F35" w:rsidRDefault="00FB2FD1">
            <w:r>
              <w:rPr>
                <w:sz w:val="15"/>
                <w:szCs w:val="15"/>
              </w:rPr>
              <w:t>4</w:t>
            </w:r>
          </w:p>
        </w:tc>
        <w:tc>
          <w:tcPr>
            <w:tcW w:w="16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2F1065A" w14:textId="77777777" w:rsidR="005D7F35" w:rsidRDefault="00FB2FD1">
            <w:r>
              <w:rPr>
                <w:sz w:val="15"/>
                <w:szCs w:val="15"/>
              </w:rPr>
              <w:t>Air/Water Resistance</w:t>
            </w:r>
          </w:p>
        </w:tc>
        <w:tc>
          <w:tcPr>
            <w:tcW w:w="36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38D8415" w14:textId="77777777" w:rsidR="005D7F35" w:rsidRDefault="00FB2FD1">
            <w:r>
              <w:rPr>
                <w:sz w:val="15"/>
                <w:szCs w:val="15"/>
              </w:rPr>
              <w:t>50 psf per ASTM E2357 (air) and ASTM E331 (water). Tested at 100 psf. Non-porous, non-absorptive material. No surface wrapping required.</w:t>
            </w:r>
          </w:p>
        </w:tc>
        <w:tc>
          <w:tcPr>
            <w:tcW w:w="36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7110E38" w14:textId="77777777" w:rsidR="005D7F35" w:rsidRDefault="00FB2FD1">
            <w:r>
              <w:rPr>
                <w:sz w:val="15"/>
                <w:szCs w:val="15"/>
              </w:rPr>
              <w:t>Most competitors test at 12–20 psf. The CMH material itself is the air barrier — no membrane wrapping needed on member faces.</w:t>
            </w:r>
          </w:p>
        </w:tc>
      </w:tr>
      <w:tr w:rsidR="005D7F35" w14:paraId="18735068" w14:textId="77777777">
        <w:tc>
          <w:tcPr>
            <w:tcW w:w="4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C9CF90F" w14:textId="77777777" w:rsidR="005D7F35" w:rsidRDefault="00FB2FD1">
            <w:r>
              <w:rPr>
                <w:sz w:val="15"/>
                <w:szCs w:val="15"/>
              </w:rPr>
              <w:t>5</w:t>
            </w:r>
          </w:p>
        </w:tc>
        <w:tc>
          <w:tcPr>
            <w:tcW w:w="16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D0B957B" w14:textId="77777777" w:rsidR="005D7F35" w:rsidRDefault="00FB2FD1">
            <w:r>
              <w:rPr>
                <w:sz w:val="15"/>
                <w:szCs w:val="15"/>
              </w:rPr>
              <w:t>Fire Safety</w:t>
            </w:r>
          </w:p>
        </w:tc>
        <w:tc>
          <w:tcPr>
            <w:tcW w:w="36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0727237" w14:textId="77777777" w:rsidR="005D7F35" w:rsidRDefault="00FB2FD1">
            <w:r>
              <w:rPr>
                <w:sz w:val="15"/>
                <w:szCs w:val="15"/>
              </w:rPr>
              <w:t>Non-combustible dead load support per IBC Section 202. ASTM E84 Class A. NFPA 285 where required.</w:t>
            </w:r>
          </w:p>
        </w:tc>
        <w:tc>
          <w:tcPr>
            <w:tcW w:w="36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1947C59" w14:textId="77777777" w:rsidR="005D7F35" w:rsidRDefault="00FB2FD1">
            <w:r>
              <w:rPr>
                <w:sz w:val="15"/>
                <w:szCs w:val="15"/>
              </w:rPr>
              <w:t>Code compliance and life safety. Separated from structural to ensure both are independently evaluated.</w:t>
            </w:r>
          </w:p>
        </w:tc>
      </w:tr>
      <w:tr w:rsidR="005D7F35" w14:paraId="0DFD8A8E" w14:textId="77777777">
        <w:tc>
          <w:tcPr>
            <w:tcW w:w="4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AE052BE" w14:textId="77777777" w:rsidR="005D7F35" w:rsidRDefault="00FB2FD1">
            <w:r>
              <w:rPr>
                <w:sz w:val="15"/>
                <w:szCs w:val="15"/>
              </w:rPr>
              <w:t>6</w:t>
            </w:r>
          </w:p>
        </w:tc>
        <w:tc>
          <w:tcPr>
            <w:tcW w:w="16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AD2F5E7" w14:textId="77777777" w:rsidR="005D7F35" w:rsidRDefault="00FB2FD1">
            <w:r>
              <w:rPr>
                <w:sz w:val="15"/>
                <w:szCs w:val="15"/>
              </w:rPr>
              <w:t>Single-Source Interface System</w:t>
            </w:r>
          </w:p>
        </w:tc>
        <w:tc>
          <w:tcPr>
            <w:tcW w:w="36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A305F34" w14:textId="77777777" w:rsidR="005D7F35" w:rsidRDefault="00FB2FD1">
            <w:r>
              <w:rPr>
                <w:sz w:val="15"/>
                <w:szCs w:val="15"/>
              </w:rPr>
              <w:t>Modular aluminum interface flanges via factory keyway. All components from one manufacturer, one warranty. Compatible with manufacturer’s CI system.</w:t>
            </w:r>
          </w:p>
        </w:tc>
        <w:tc>
          <w:tcPr>
            <w:tcW w:w="36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CC14840" w14:textId="77777777" w:rsidR="005D7F35" w:rsidRDefault="00FB2FD1">
            <w:r>
              <w:rPr>
                <w:sz w:val="15"/>
                <w:szCs w:val="15"/>
              </w:rPr>
              <w:t>Eliminates finger-pointing. One call for thermal, structural, and installation questions.</w:t>
            </w:r>
          </w:p>
        </w:tc>
      </w:tr>
      <w:tr w:rsidR="005D7F35" w14:paraId="14B2DF87" w14:textId="77777777">
        <w:tc>
          <w:tcPr>
            <w:tcW w:w="4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2B9321E" w14:textId="77777777" w:rsidR="005D7F35" w:rsidRDefault="00FB2FD1">
            <w:r>
              <w:rPr>
                <w:sz w:val="15"/>
                <w:szCs w:val="15"/>
              </w:rPr>
              <w:t>7</w:t>
            </w:r>
          </w:p>
        </w:tc>
        <w:tc>
          <w:tcPr>
            <w:tcW w:w="16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5C47C25" w14:textId="77777777" w:rsidR="005D7F35" w:rsidRDefault="00FB2FD1">
            <w:r>
              <w:rPr>
                <w:sz w:val="15"/>
                <w:szCs w:val="15"/>
              </w:rPr>
              <w:t>Certified Assembly Thermal Performance</w:t>
            </w:r>
          </w:p>
        </w:tc>
        <w:tc>
          <w:tcPr>
            <w:tcW w:w="36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DDB69B6" w14:textId="77777777" w:rsidR="005D7F35" w:rsidRDefault="00FB2FD1">
            <w:r>
              <w:rPr>
                <w:sz w:val="15"/>
                <w:szCs w:val="15"/>
              </w:rPr>
              <w:t>Assembly Thermal Efficiency ≥ 93%. Chi ≤ 0.005 Btu/(hr·°F) per bracket. Complete assembly boundary analysis with thermal flanking elimination. Independent third-party certification per ISO 10211.</w:t>
            </w:r>
          </w:p>
        </w:tc>
        <w:tc>
          <w:tcPr>
            <w:tcW w:w="36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57355E3" w14:textId="77777777" w:rsidR="005D7F35" w:rsidRDefault="00FB2FD1">
            <w:r>
              <w:rPr>
                <w:sz w:val="15"/>
                <w:szCs w:val="15"/>
              </w:rPr>
              <w:t>Ensures the complete installed assembly — not just individual materials — delivers verified thermal performance. Competitors who model products in isolation cannot demonstrate compliance.</w:t>
            </w:r>
          </w:p>
        </w:tc>
      </w:tr>
    </w:tbl>
    <w:p w14:paraId="2D35ED66" w14:textId="77777777" w:rsidR="005D7F35" w:rsidRDefault="00FB2FD1">
      <w:pPr>
        <w:pBdr>
          <w:left w:val="single" w:sz="12" w:space="8" w:color="00447C"/>
        </w:pBdr>
        <w:spacing w:before="100" w:after="100"/>
        <w:ind w:left="560"/>
      </w:pPr>
      <w:r>
        <w:rPr>
          <w:b/>
          <w:bCs/>
          <w:i/>
          <w:iCs/>
          <w:color w:val="00447C"/>
        </w:rPr>
        <w:t>The Key Question to Ask Any Alternative: “Can you provide third-party verified Psi values for the complete installed assembly at sill, head, and jamb conditions?” Any system that cannot answer this question with documented data should be disqualified.</w:t>
      </w:r>
    </w:p>
    <w:p w14:paraId="08E1341B" w14:textId="77777777" w:rsidR="005D7F35" w:rsidRDefault="00FB2FD1">
      <w:pPr>
        <w:spacing w:before="120" w:after="60"/>
      </w:pPr>
      <w:r>
        <w:rPr>
          <w:b/>
          <w:bCs/>
          <w:color w:val="00447C"/>
        </w:rPr>
        <w:t>Air/Water Test Pressure — What the Numbers Mean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40"/>
        <w:gridCol w:w="2340"/>
        <w:gridCol w:w="2340"/>
        <w:gridCol w:w="2340"/>
      </w:tblGrid>
      <w:tr w:rsidR="005D7F35" w14:paraId="6EF765BC" w14:textId="77777777" w:rsidTr="00FB22A9">
        <w:tc>
          <w:tcPr>
            <w:tcW w:w="234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42989F50" w14:textId="77777777" w:rsidR="005D7F35" w:rsidRPr="00FB22A9" w:rsidRDefault="00FB2FD1">
            <w:pPr>
              <w:rPr>
                <w:color w:val="FFFFFF" w:themeColor="background1"/>
              </w:rPr>
            </w:pPr>
            <w:r w:rsidRPr="00FB22A9">
              <w:rPr>
                <w:b/>
                <w:bCs/>
                <w:color w:val="FFFFFF" w:themeColor="background1"/>
                <w:sz w:val="15"/>
                <w:szCs w:val="15"/>
              </w:rPr>
              <w:t>Test Pressure</w:t>
            </w:r>
          </w:p>
        </w:tc>
        <w:tc>
          <w:tcPr>
            <w:tcW w:w="234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7424A00B" w14:textId="77777777" w:rsidR="005D7F35" w:rsidRPr="00FB22A9" w:rsidRDefault="00FB2FD1">
            <w:pPr>
              <w:rPr>
                <w:color w:val="FFFFFF" w:themeColor="background1"/>
              </w:rPr>
            </w:pPr>
            <w:r w:rsidRPr="00FB22A9">
              <w:rPr>
                <w:b/>
                <w:bCs/>
                <w:color w:val="FFFFFF" w:themeColor="background1"/>
                <w:sz w:val="15"/>
                <w:szCs w:val="15"/>
              </w:rPr>
              <w:t>Approx. Wind</w:t>
            </w:r>
          </w:p>
        </w:tc>
        <w:tc>
          <w:tcPr>
            <w:tcW w:w="234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3C1CB9FC" w14:textId="77777777" w:rsidR="005D7F35" w:rsidRPr="00FB22A9" w:rsidRDefault="00FB2FD1">
            <w:pPr>
              <w:rPr>
                <w:color w:val="FFFFFF" w:themeColor="background1"/>
              </w:rPr>
            </w:pPr>
            <w:r w:rsidRPr="00FB22A9">
              <w:rPr>
                <w:b/>
                <w:bCs/>
                <w:color w:val="FFFFFF" w:themeColor="background1"/>
                <w:sz w:val="15"/>
                <w:szCs w:val="15"/>
              </w:rPr>
              <w:t>Equivalent</w:t>
            </w:r>
          </w:p>
        </w:tc>
        <w:tc>
          <w:tcPr>
            <w:tcW w:w="234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3517D948" w14:textId="77777777" w:rsidR="005D7F35" w:rsidRPr="00FB22A9" w:rsidRDefault="00FB2FD1">
            <w:pPr>
              <w:rPr>
                <w:color w:val="FFFFFF" w:themeColor="background1"/>
              </w:rPr>
            </w:pPr>
            <w:r w:rsidRPr="00FB22A9">
              <w:rPr>
                <w:b/>
                <w:bCs/>
                <w:color w:val="FFFFFF" w:themeColor="background1"/>
                <w:sz w:val="15"/>
                <w:szCs w:val="15"/>
              </w:rPr>
              <w:t>Who Tests Here</w:t>
            </w:r>
          </w:p>
        </w:tc>
      </w:tr>
      <w:tr w:rsidR="005D7F35" w14:paraId="26476254" w14:textId="77777777">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406E18C" w14:textId="77777777" w:rsidR="005D7F35" w:rsidRDefault="00FB2FD1">
            <w:r>
              <w:rPr>
                <w:sz w:val="15"/>
                <w:szCs w:val="15"/>
              </w:rPr>
              <w:t>6.24 psf</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7078244" w14:textId="77777777" w:rsidR="005D7F35" w:rsidRDefault="00FB2FD1">
            <w:r>
              <w:rPr>
                <w:sz w:val="15"/>
                <w:szCs w:val="15"/>
              </w:rPr>
              <w:t>~50 mph</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61D2C57" w14:textId="77777777" w:rsidR="005D7F35" w:rsidRDefault="00FB2FD1">
            <w:r>
              <w:rPr>
                <w:sz w:val="15"/>
                <w:szCs w:val="15"/>
              </w:rPr>
              <w:t>Strong wind</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83AE3F1" w14:textId="77777777" w:rsidR="005D7F35" w:rsidRDefault="00FB2FD1">
            <w:r>
              <w:rPr>
                <w:sz w:val="15"/>
                <w:szCs w:val="15"/>
              </w:rPr>
              <w:t>Generic spec minimum (water)</w:t>
            </w:r>
          </w:p>
        </w:tc>
      </w:tr>
      <w:tr w:rsidR="005D7F35" w14:paraId="263683CC" w14:textId="77777777">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B93F8D3" w14:textId="77777777" w:rsidR="005D7F35" w:rsidRDefault="00FB2FD1">
            <w:r>
              <w:rPr>
                <w:sz w:val="15"/>
                <w:szCs w:val="15"/>
              </w:rPr>
              <w:t>12 psf</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6BD74FF" w14:textId="77777777" w:rsidR="005D7F35" w:rsidRDefault="00FB2FD1">
            <w:r>
              <w:rPr>
                <w:sz w:val="15"/>
                <w:szCs w:val="15"/>
              </w:rPr>
              <w:t>~70 mph</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D3E12E8" w14:textId="77777777" w:rsidR="005D7F35" w:rsidRDefault="00FB2FD1">
            <w:r>
              <w:rPr>
                <w:sz w:val="15"/>
                <w:szCs w:val="15"/>
              </w:rPr>
              <w:t>Tropical storm</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16837EE" w14:textId="77777777" w:rsidR="005D7F35" w:rsidRDefault="00FB2FD1">
            <w:r>
              <w:rPr>
                <w:sz w:val="15"/>
                <w:szCs w:val="15"/>
              </w:rPr>
              <w:t>Many fenestration competitors</w:t>
            </w:r>
          </w:p>
        </w:tc>
      </w:tr>
      <w:tr w:rsidR="005D7F35" w14:paraId="4E9A09C0" w14:textId="77777777">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46AF6E3" w14:textId="77777777" w:rsidR="005D7F35" w:rsidRDefault="00FB2FD1">
            <w:r>
              <w:rPr>
                <w:sz w:val="15"/>
                <w:szCs w:val="15"/>
              </w:rPr>
              <w:t>20 psf</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68E2AC5" w14:textId="77777777" w:rsidR="005D7F35" w:rsidRDefault="00FB2FD1">
            <w:r>
              <w:rPr>
                <w:sz w:val="15"/>
                <w:szCs w:val="15"/>
              </w:rPr>
              <w:t>~90 mph</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70BAC44" w14:textId="77777777" w:rsidR="005D7F35" w:rsidRDefault="00FB2FD1">
            <w:r>
              <w:rPr>
                <w:sz w:val="15"/>
                <w:szCs w:val="15"/>
              </w:rPr>
              <w:t>Category 1 hurricane</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5DCB1B4" w14:textId="77777777" w:rsidR="005D7F35" w:rsidRDefault="00FB2FD1">
            <w:r>
              <w:rPr>
                <w:sz w:val="15"/>
                <w:szCs w:val="15"/>
              </w:rPr>
              <w:t>Better fenestration competitors</w:t>
            </w:r>
          </w:p>
        </w:tc>
      </w:tr>
      <w:tr w:rsidR="005D7F35" w14:paraId="5CFAB7B1" w14:textId="77777777">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674EFE8" w14:textId="77777777" w:rsidR="005D7F35" w:rsidRDefault="00FB2FD1">
            <w:r>
              <w:rPr>
                <w:sz w:val="15"/>
                <w:szCs w:val="15"/>
              </w:rPr>
              <w:t>50 psf (SPECIFIED)</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F245300" w14:textId="77777777" w:rsidR="005D7F35" w:rsidRDefault="00FB2FD1">
            <w:r>
              <w:rPr>
                <w:sz w:val="15"/>
                <w:szCs w:val="15"/>
              </w:rPr>
              <w:t>~140 mph</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F90F7EC" w14:textId="77777777" w:rsidR="005D7F35" w:rsidRDefault="00FB2FD1">
            <w:r>
              <w:rPr>
                <w:sz w:val="15"/>
                <w:szCs w:val="15"/>
              </w:rPr>
              <w:t>Category 4 hurricane</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783F92B" w14:textId="77777777" w:rsidR="005D7F35" w:rsidRDefault="00FB2FD1">
            <w:r>
              <w:rPr>
                <w:sz w:val="15"/>
                <w:szCs w:val="15"/>
              </w:rPr>
              <w:t>GreenGirt XO — Specification Requirement</w:t>
            </w:r>
          </w:p>
        </w:tc>
      </w:tr>
      <w:tr w:rsidR="005D7F35" w14:paraId="46511610" w14:textId="77777777">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965EFAC" w14:textId="77777777" w:rsidR="005D7F35" w:rsidRDefault="00FB2FD1">
            <w:r>
              <w:rPr>
                <w:sz w:val="15"/>
                <w:szCs w:val="15"/>
              </w:rPr>
              <w:t>100 psf (TESTED)</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6A86250" w14:textId="77777777" w:rsidR="005D7F35" w:rsidRDefault="00FB2FD1">
            <w:r>
              <w:rPr>
                <w:sz w:val="15"/>
                <w:szCs w:val="15"/>
              </w:rPr>
              <w:t>~200 mph</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4D0862F" w14:textId="77777777" w:rsidR="005D7F35" w:rsidRDefault="00FB2FD1">
            <w:r>
              <w:rPr>
                <w:sz w:val="15"/>
                <w:szCs w:val="15"/>
              </w:rPr>
              <w:t>Beyond Category 5</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EB87AF0" w14:textId="77777777" w:rsidR="005D7F35" w:rsidRDefault="00FB2FD1">
            <w:r>
              <w:rPr>
                <w:sz w:val="15"/>
                <w:szCs w:val="15"/>
              </w:rPr>
              <w:t>GreenGirt XO — Tested and Passed</w:t>
            </w:r>
          </w:p>
        </w:tc>
      </w:tr>
    </w:tbl>
    <w:p w14:paraId="2FC84B97" w14:textId="77777777" w:rsidR="005D7F35" w:rsidRDefault="00FB2FD1">
      <w:pPr>
        <w:pBdr>
          <w:bottom w:val="single" w:sz="4" w:space="4" w:color="00447C"/>
        </w:pBdr>
        <w:spacing w:before="180" w:after="80"/>
      </w:pPr>
      <w:r>
        <w:rPr>
          <w:b/>
          <w:bCs/>
          <w:color w:val="00447C"/>
          <w:sz w:val="20"/>
          <w:szCs w:val="20"/>
        </w:rPr>
        <w:t>SUSTAINABILITY CREDENTIALS</w:t>
      </w:r>
    </w:p>
    <w:p w14:paraId="3208A949" w14:textId="77777777" w:rsidR="005D7F35" w:rsidRDefault="00FB2FD1">
      <w:pPr>
        <w:spacing w:after="100"/>
      </w:pPr>
      <w:r>
        <w:t>GreenGirt XO supports sustainable design objectives: product-specific Type III EPD per EN 15804 and ISO 14025, Declare Label (Red List Free), net-zero energy manufacturing process, minimum 25% post-consumer recycled content in CMH composite, halogen/bromine free (no halogenated flame retardants), and Buy America compliant — all components manufactured in the United States.</w:t>
      </w:r>
    </w:p>
    <w:p w14:paraId="11532FA9" w14:textId="77777777" w:rsidR="005D7F35" w:rsidRDefault="00FB2FD1">
      <w:pPr>
        <w:pBdr>
          <w:bottom w:val="single" w:sz="4" w:space="4" w:color="00447C"/>
        </w:pBdr>
        <w:spacing w:before="180" w:after="80"/>
      </w:pPr>
      <w:r>
        <w:rPr>
          <w:b/>
          <w:bCs/>
          <w:color w:val="00447C"/>
          <w:sz w:val="20"/>
          <w:szCs w:val="20"/>
        </w:rPr>
        <w:t>ENGINEERING SUPPORT: INCLUDED, NOT EXTRA</w:t>
      </w:r>
    </w:p>
    <w:p w14:paraId="3F582D94" w14:textId="77777777" w:rsidR="005D7F35" w:rsidRDefault="00FB2FD1">
      <w:pPr>
        <w:spacing w:after="100"/>
      </w:pPr>
      <w:r>
        <w:t xml:space="preserve">Advanced Architectural Products provides comprehensive engineering support for every project at no additional cost. GreenGirt XO is part of A2P’s portfolio of continuous insulation and building enclosure systems, which includes GreenGirt CMH™, GreenGirt Steel™, and SMARTci® systems. For every project, A2P provides PE-stamped structural calculations for project-specific loading, thermal modeling for specific conditions and configurations, shop drawing review for fenestration and </w:t>
      </w:r>
      <w:r>
        <w:lastRenderedPageBreak/>
        <w:t>CI coordination, installation training and field support, and technical consultation throughout design and construction. Single-source responsibility means one phone call for thermal, structural, and installation questions.</w:t>
      </w:r>
    </w:p>
    <w:p w14:paraId="34D94FAC" w14:textId="77777777" w:rsidR="005D7F35" w:rsidRDefault="00FB2FD1">
      <w:pPr>
        <w:pBdr>
          <w:left w:val="single" w:sz="12" w:space="8" w:color="00447C"/>
        </w:pBdr>
        <w:spacing w:before="100" w:after="100"/>
        <w:ind w:left="560"/>
      </w:pPr>
      <w:r>
        <w:rPr>
          <w:b/>
          <w:bCs/>
          <w:i/>
          <w:iCs/>
          <w:color w:val="00447C"/>
        </w:rPr>
        <w:t>RUN YOUR OWN NUMBERS: Use the GreenGirt XO Thermal Calculator at www.GreenGirt.com to generate project-specific thermal bridging analysis and energy cost savings for any building.</w:t>
      </w:r>
    </w:p>
    <w:p w14:paraId="0FD24936" w14:textId="77777777" w:rsidR="005D7F35" w:rsidRDefault="00FB2FD1">
      <w:pPr>
        <w:pBdr>
          <w:bottom w:val="single" w:sz="4" w:space="4" w:color="00447C"/>
        </w:pBdr>
        <w:spacing w:before="180" w:after="80"/>
      </w:pPr>
      <w:r>
        <w:rPr>
          <w:b/>
          <w:bCs/>
          <w:color w:val="00447C"/>
          <w:sz w:val="20"/>
          <w:szCs w:val="20"/>
        </w:rPr>
        <w:t>COMPANION DOCUMENTS</w:t>
      </w:r>
    </w:p>
    <w:p w14:paraId="114F5A49" w14:textId="77777777" w:rsidR="005D7F35" w:rsidRDefault="00FB2FD1">
      <w:pPr>
        <w:spacing w:after="100"/>
      </w:pPr>
      <w:r>
        <w:t>This introduction is part of a coordinated specification package. Your A2P representative can provide the complete technical specification (Section 07 05 43.05), a one-page quick reference, the Architect Defense Guide with substitution evaluation tools and sample rejection language, the Trade Scope Matrix for bid package coordination, and installation field notes. Contact us or your A2P representative to request any document.</w:t>
      </w:r>
    </w:p>
    <w:p w14:paraId="2C4768CE" w14:textId="77777777" w:rsidR="005D7F35" w:rsidRDefault="005D7F35">
      <w:pPr>
        <w:pBdr>
          <w:bottom w:val="single" w:sz="2" w:space="1" w:color="CCCCCC"/>
        </w:pBdr>
        <w:spacing w:before="120" w:after="80"/>
      </w:pPr>
    </w:p>
    <w:p w14:paraId="4A8C68D9" w14:textId="77777777" w:rsidR="005D7F35" w:rsidRDefault="00FB2FD1">
      <w:pPr>
        <w:spacing w:after="40"/>
      </w:pPr>
      <w:r>
        <w:rPr>
          <w:b/>
          <w:bCs/>
          <w:color w:val="00447C"/>
        </w:rPr>
        <w:t>Advanced Architectural Products</w:t>
      </w:r>
    </w:p>
    <w:p w14:paraId="079F27A6" w14:textId="77777777" w:rsidR="005D7F35" w:rsidRDefault="00FB2FD1">
      <w:pPr>
        <w:spacing w:after="60"/>
      </w:pPr>
      <w:r>
        <w:t>959 Industrial Drive, Allegan, Michigan 49010  |  (269) 355-1818  |  www.GreenGirt.com</w:t>
      </w:r>
    </w:p>
    <w:p w14:paraId="7FC0C479" w14:textId="77777777" w:rsidR="005D7F35" w:rsidRDefault="00FB2FD1">
      <w:pPr>
        <w:spacing w:after="40"/>
      </w:pPr>
      <w:r>
        <w:rPr>
          <w:i/>
          <w:iCs/>
          <w:color w:val="666666"/>
          <w:sz w:val="16"/>
          <w:szCs w:val="16"/>
        </w:rPr>
        <w:t>This document accompanies Section 07 05 43.05: Structural Thermal Framing for Windows and Openings. It is intended for educational and reference purposes. For binding specification language, refer to the specification document itself.</w:t>
      </w:r>
    </w:p>
    <w:p w14:paraId="213E4680" w14:textId="77777777" w:rsidR="005D7F35" w:rsidRDefault="00FB2FD1">
      <w:r>
        <w:rPr>
          <w:i/>
          <w:iCs/>
          <w:color w:val="999999"/>
          <w:sz w:val="16"/>
          <w:szCs w:val="16"/>
        </w:rPr>
        <w:t>© 2026 Advanced Architectural Products. All rights reserved.</w:t>
      </w:r>
    </w:p>
    <w:sectPr w:rsidR="005D7F35">
      <w:headerReference w:type="default" r:id="rId7"/>
      <w:footerReference w:type="default" r:id="rId8"/>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1F83E" w14:textId="77777777" w:rsidR="00461F25" w:rsidRDefault="00461F25">
      <w:r>
        <w:separator/>
      </w:r>
    </w:p>
  </w:endnote>
  <w:endnote w:type="continuationSeparator" w:id="0">
    <w:p w14:paraId="01295BDF" w14:textId="77777777" w:rsidR="00461F25" w:rsidRDefault="00461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9807" w14:textId="77777777" w:rsidR="005D7F35" w:rsidRDefault="00FB2FD1">
    <w:pPr>
      <w:pBdr>
        <w:top w:val="single" w:sz="1" w:space="4" w:color="CCCCCC"/>
      </w:pBdr>
      <w:spacing w:after="40"/>
      <w:jc w:val="center"/>
    </w:pPr>
    <w:r>
      <w:rPr>
        <w:color w:val="999999"/>
        <w:sz w:val="14"/>
        <w:szCs w:val="14"/>
      </w:rPr>
      <w:t>A2P-M-XO-GDE01-v3.4  •  2026-05-21  •  Advanced Architectural Products  •  (269) 355-1818  •  www.GreenGirt.com</w:t>
    </w:r>
  </w:p>
  <w:p w14:paraId="511A42A6" w14:textId="77777777" w:rsidR="005D7F35" w:rsidRDefault="00FB2FD1">
    <w:pPr>
      <w:jc w:val="center"/>
    </w:pPr>
    <w:r>
      <w:rPr>
        <w:b/>
        <w:bCs/>
        <w:color w:val="666666"/>
        <w:sz w:val="14"/>
        <w:szCs w:val="14"/>
      </w:rPr>
      <w:t xml:space="preserve">Page </w:t>
    </w:r>
    <w:r>
      <w:rPr>
        <w:b/>
        <w:bCs/>
        <w:color w:val="666666"/>
        <w:sz w:val="14"/>
        <w:szCs w:val="14"/>
      </w:rPr>
      <w:fldChar w:fldCharType="begin"/>
    </w:r>
    <w:r>
      <w:rPr>
        <w:b/>
        <w:bCs/>
        <w:color w:val="666666"/>
        <w:sz w:val="14"/>
        <w:szCs w:val="14"/>
      </w:rPr>
      <w:instrText>PAGE</w:instrText>
    </w:r>
    <w:r>
      <w:rPr>
        <w:b/>
        <w:bCs/>
        <w:color w:val="666666"/>
        <w:sz w:val="14"/>
        <w:szCs w:val="14"/>
      </w:rPr>
      <w:fldChar w:fldCharType="separate"/>
    </w:r>
    <w:r w:rsidR="00FB22A9">
      <w:rPr>
        <w:b/>
        <w:bCs/>
        <w:noProof/>
        <w:color w:val="666666"/>
        <w:sz w:val="14"/>
        <w:szCs w:val="14"/>
      </w:rPr>
      <w:t>1</w:t>
    </w:r>
    <w:r>
      <w:rPr>
        <w:b/>
        <w:bCs/>
        <w:color w:val="666666"/>
        <w:sz w:val="14"/>
        <w:szCs w:val="14"/>
      </w:rPr>
      <w:fldChar w:fldCharType="end"/>
    </w:r>
    <w:r>
      <w:rPr>
        <w:b/>
        <w:bCs/>
        <w:color w:val="666666"/>
        <w:sz w:val="14"/>
        <w:szCs w:val="14"/>
      </w:rPr>
      <w:t xml:space="preserve"> of </w:t>
    </w:r>
    <w:r>
      <w:rPr>
        <w:b/>
        <w:bCs/>
        <w:color w:val="666666"/>
        <w:sz w:val="14"/>
        <w:szCs w:val="14"/>
      </w:rPr>
      <w:fldChar w:fldCharType="begin"/>
    </w:r>
    <w:r>
      <w:rPr>
        <w:b/>
        <w:bCs/>
        <w:color w:val="666666"/>
        <w:sz w:val="14"/>
        <w:szCs w:val="14"/>
      </w:rPr>
      <w:instrText>NUMPAGES</w:instrText>
    </w:r>
    <w:r>
      <w:rPr>
        <w:b/>
        <w:bCs/>
        <w:color w:val="666666"/>
        <w:sz w:val="14"/>
        <w:szCs w:val="14"/>
      </w:rPr>
      <w:fldChar w:fldCharType="separate"/>
    </w:r>
    <w:r w:rsidR="00FB22A9">
      <w:rPr>
        <w:b/>
        <w:bCs/>
        <w:noProof/>
        <w:color w:val="666666"/>
        <w:sz w:val="14"/>
        <w:szCs w:val="14"/>
      </w:rPr>
      <w:t>2</w:t>
    </w:r>
    <w:r>
      <w:rPr>
        <w:b/>
        <w:bCs/>
        <w:color w:val="666666"/>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5753E" w14:textId="77777777" w:rsidR="00461F25" w:rsidRDefault="00461F25">
      <w:r>
        <w:separator/>
      </w:r>
    </w:p>
  </w:footnote>
  <w:footnote w:type="continuationSeparator" w:id="0">
    <w:p w14:paraId="0AF2096D" w14:textId="77777777" w:rsidR="00461F25" w:rsidRDefault="00461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0D52A" w14:textId="77777777" w:rsidR="005D7F35" w:rsidRDefault="00FB2FD1">
    <w:pPr>
      <w:pBdr>
        <w:bottom w:val="single" w:sz="2" w:space="4" w:color="00447C"/>
      </w:pBdr>
    </w:pPr>
    <w:r>
      <w:rPr>
        <w:b/>
        <w:bCs/>
        <w:color w:val="00447C"/>
        <w:sz w:val="16"/>
        <w:szCs w:val="16"/>
      </w:rPr>
      <w:t>GREENGIRT XO™  |  SPECIFICATION INTRODUCTION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C84FE1"/>
    <w:multiLevelType w:val="hybridMultilevel"/>
    <w:tmpl w:val="78EA2BBE"/>
    <w:lvl w:ilvl="0" w:tplc="A1502940">
      <w:start w:val="1"/>
      <w:numFmt w:val="bullet"/>
      <w:lvlText w:val="●"/>
      <w:lvlJc w:val="left"/>
      <w:pPr>
        <w:ind w:left="720" w:hanging="360"/>
      </w:pPr>
    </w:lvl>
    <w:lvl w:ilvl="1" w:tplc="EB2EC724">
      <w:start w:val="1"/>
      <w:numFmt w:val="bullet"/>
      <w:lvlText w:val="○"/>
      <w:lvlJc w:val="left"/>
      <w:pPr>
        <w:ind w:left="1440" w:hanging="360"/>
      </w:pPr>
    </w:lvl>
    <w:lvl w:ilvl="2" w:tplc="319EE192">
      <w:start w:val="1"/>
      <w:numFmt w:val="bullet"/>
      <w:lvlText w:val="■"/>
      <w:lvlJc w:val="left"/>
      <w:pPr>
        <w:ind w:left="2160" w:hanging="360"/>
      </w:pPr>
    </w:lvl>
    <w:lvl w:ilvl="3" w:tplc="5E16DA92">
      <w:start w:val="1"/>
      <w:numFmt w:val="bullet"/>
      <w:lvlText w:val="●"/>
      <w:lvlJc w:val="left"/>
      <w:pPr>
        <w:ind w:left="2880" w:hanging="360"/>
      </w:pPr>
    </w:lvl>
    <w:lvl w:ilvl="4" w:tplc="D5640A80">
      <w:start w:val="1"/>
      <w:numFmt w:val="bullet"/>
      <w:lvlText w:val="○"/>
      <w:lvlJc w:val="left"/>
      <w:pPr>
        <w:ind w:left="3600" w:hanging="360"/>
      </w:pPr>
    </w:lvl>
    <w:lvl w:ilvl="5" w:tplc="191E0780">
      <w:start w:val="1"/>
      <w:numFmt w:val="bullet"/>
      <w:lvlText w:val="■"/>
      <w:lvlJc w:val="left"/>
      <w:pPr>
        <w:ind w:left="4320" w:hanging="360"/>
      </w:pPr>
    </w:lvl>
    <w:lvl w:ilvl="6" w:tplc="28CA2D02">
      <w:start w:val="1"/>
      <w:numFmt w:val="bullet"/>
      <w:lvlText w:val="●"/>
      <w:lvlJc w:val="left"/>
      <w:pPr>
        <w:ind w:left="5040" w:hanging="360"/>
      </w:pPr>
    </w:lvl>
    <w:lvl w:ilvl="7" w:tplc="F06287A6">
      <w:start w:val="1"/>
      <w:numFmt w:val="bullet"/>
      <w:lvlText w:val="●"/>
      <w:lvlJc w:val="left"/>
      <w:pPr>
        <w:ind w:left="5760" w:hanging="360"/>
      </w:pPr>
    </w:lvl>
    <w:lvl w:ilvl="8" w:tplc="4DF89058">
      <w:start w:val="1"/>
      <w:numFmt w:val="bullet"/>
      <w:lvlText w:val="●"/>
      <w:lvlJc w:val="left"/>
      <w:pPr>
        <w:ind w:left="6480" w:hanging="360"/>
      </w:pPr>
    </w:lvl>
  </w:abstractNum>
  <w:num w:numId="1" w16cid:durableId="203765153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F35"/>
    <w:rsid w:val="00461F25"/>
    <w:rsid w:val="00562C03"/>
    <w:rsid w:val="005D7F35"/>
    <w:rsid w:val="00AB78F4"/>
    <w:rsid w:val="00E40240"/>
    <w:rsid w:val="00FB22A9"/>
    <w:rsid w:val="00FB2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9C93F"/>
  <w15:docId w15:val="{58ED3689-767B-47DC-AFB5-7A4B1D3A7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w:eastAsia="Helvetica" w:hAnsi="Helvetica" w:cs="Helvetica"/>
        <w:color w:val="333333"/>
        <w:sz w:val="18"/>
        <w:szCs w:val="1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1377</Words>
  <Characters>7850</Characters>
  <Application>Microsoft Office Word</Application>
  <DocSecurity>0</DocSecurity>
  <Lines>65</Lines>
  <Paragraphs>18</Paragraphs>
  <ScaleCrop>false</ScaleCrop>
  <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Kevin Mlutkowski</cp:lastModifiedBy>
  <cp:revision>3</cp:revision>
  <dcterms:created xsi:type="dcterms:W3CDTF">2026-06-03T14:52:00Z</dcterms:created>
  <dcterms:modified xsi:type="dcterms:W3CDTF">2026-06-03T17:49:00Z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0f17707b-3ce4-4fbe-932b-ebcac640557e</vt:lpwstr>
  </property>
</Properties>
</file>