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98827" w14:textId="77777777" w:rsidR="00AC7678" w:rsidRDefault="00A17404">
      <w:pPr>
        <w:spacing w:after="40"/>
        <w:jc w:val="center"/>
      </w:pPr>
      <w:r>
        <w:rPr>
          <w:b/>
          <w:bCs/>
          <w:color w:val="00447C"/>
          <w:sz w:val="40"/>
          <w:szCs w:val="40"/>
        </w:rPr>
        <w:t>GREENGIRT XO™</w:t>
      </w:r>
    </w:p>
    <w:p w14:paraId="22B91CDB" w14:textId="77777777" w:rsidR="00AC7678" w:rsidRDefault="00A17404">
      <w:pPr>
        <w:spacing w:after="80"/>
        <w:jc w:val="center"/>
      </w:pPr>
      <w:r>
        <w:rPr>
          <w:b/>
          <w:bCs/>
          <w:color w:val="00447C"/>
          <w:sz w:val="28"/>
          <w:szCs w:val="28"/>
        </w:rPr>
        <w:t>SPECIFICATION DEFENSE GUIDE</w:t>
      </w:r>
    </w:p>
    <w:p w14:paraId="3294CB7C" w14:textId="77777777" w:rsidR="00AC7678" w:rsidRDefault="00A17404">
      <w:pPr>
        <w:spacing w:before="60" w:after="60"/>
      </w:pPr>
      <w:r>
        <w:rPr>
          <w:i/>
          <w:iCs/>
          <w:color w:val="666666"/>
        </w:rPr>
        <w:t>A Resource for Architects and Specifiers Evaluating Proposed Substitutions</w:t>
      </w:r>
    </w:p>
    <w:p w14:paraId="114F2A4B" w14:textId="77777777" w:rsidR="00AC7678" w:rsidRDefault="00A17404">
      <w:pPr>
        <w:spacing w:before="180" w:after="60"/>
      </w:pPr>
      <w:r>
        <w:rPr>
          <w:b/>
          <w:bCs/>
          <w:color w:val="00447C"/>
          <w:sz w:val="22"/>
          <w:szCs w:val="22"/>
        </w:rPr>
        <w:t>Document: A2P-E-XO-GDE01-v3.4 • 2026-05-21</w:t>
      </w:r>
    </w:p>
    <w:p w14:paraId="25163559" w14:textId="77777777" w:rsidR="00AC7678" w:rsidRDefault="00A17404">
      <w:pPr>
        <w:spacing w:after="200"/>
      </w:pPr>
      <w:r>
        <w:rPr>
          <w:b/>
          <w:bCs/>
          <w:color w:val="00447C"/>
          <w:sz w:val="22"/>
          <w:szCs w:val="22"/>
        </w:rPr>
        <w:t>Owner: Engineering</w:t>
      </w:r>
    </w:p>
    <w:p w14:paraId="6009505A" w14:textId="77777777" w:rsidR="00AC7678" w:rsidRDefault="00AC7678">
      <w:pPr>
        <w:pBdr>
          <w:bottom w:val="single" w:sz="4" w:space="1" w:color="CCCCCC"/>
        </w:pBdr>
      </w:pPr>
    </w:p>
    <w:p w14:paraId="605C6F4D" w14:textId="77777777" w:rsidR="00AC7678" w:rsidRDefault="00A17404">
      <w:pPr>
        <w:spacing w:before="200" w:after="80"/>
      </w:pPr>
      <w:r>
        <w:rPr>
          <w:b/>
          <w:bCs/>
          <w:color w:val="00447C"/>
          <w:sz w:val="24"/>
          <w:szCs w:val="24"/>
        </w:rPr>
        <w:t>HOW TO USE THIS GUIDE</w:t>
      </w:r>
    </w:p>
    <w:p w14:paraId="5526B84F" w14:textId="77777777" w:rsidR="00AC7678" w:rsidRDefault="00A17404">
      <w:pPr>
        <w:spacing w:after="80"/>
      </w:pPr>
      <w:r>
        <w:rPr>
          <w:b/>
          <w:bCs/>
        </w:rPr>
        <w:t xml:space="preserve">Who should have this: </w:t>
      </w:r>
      <w:r>
        <w:t>The architect of record, project architect, or specification writer responsible for evaluating substitution requests on this project.</w:t>
      </w:r>
    </w:p>
    <w:p w14:paraId="497998A6" w14:textId="77777777" w:rsidR="00AC7678" w:rsidRDefault="00A17404">
      <w:pPr>
        <w:spacing w:after="80"/>
      </w:pPr>
      <w:r>
        <w:rPr>
          <w:b/>
          <w:bCs/>
        </w:rPr>
        <w:t xml:space="preserve">When you should have received it: </w:t>
      </w:r>
      <w:r>
        <w:t>This guide should have been provided when the GreenGirt XO specification was incorporated into your project manual — before bidding begins. If you are reading this for the first time in response to a substitution request, contact A2P engineering immediately at (269) 355-1818 for support evaluating the submittal.</w:t>
      </w:r>
    </w:p>
    <w:p w14:paraId="58E1EC00" w14:textId="77777777" w:rsidR="00AC7678" w:rsidRDefault="00A17404">
      <w:pPr>
        <w:spacing w:before="80" w:after="60"/>
      </w:pPr>
      <w:r>
        <w:rPr>
          <w:i/>
          <w:iCs/>
          <w:color w:val="666666"/>
        </w:rPr>
        <w:t>This guide walks you through a three-step evaluation:</w:t>
      </w:r>
    </w:p>
    <w:p w14:paraId="6E2791B7" w14:textId="77777777" w:rsidR="00AC7678" w:rsidRDefault="00A17404">
      <w:pPr>
        <w:spacing w:after="60"/>
        <w:ind w:left="720" w:hanging="260"/>
      </w:pPr>
      <w:r>
        <w:t>•  Step 1: Evaluate the product against the 7 Performance Requirements (page 1–3)</w:t>
      </w:r>
    </w:p>
    <w:p w14:paraId="7F0E11E3" w14:textId="77777777" w:rsidR="00AC7678" w:rsidRDefault="00A17404">
      <w:pPr>
        <w:spacing w:after="60"/>
        <w:ind w:left="720" w:hanging="260"/>
      </w:pPr>
      <w:r>
        <w:t>•  Step 2: Assess downstream impacts on energy code, HVAC, and project costs (page 3)</w:t>
      </w:r>
    </w:p>
    <w:p w14:paraId="59D12DC5" w14:textId="77777777" w:rsidR="00AC7678" w:rsidRDefault="00A17404">
      <w:pPr>
        <w:spacing w:after="60"/>
        <w:ind w:left="720" w:hanging="260"/>
      </w:pPr>
      <w:r>
        <w:t>•  Step 3: Document your findings using the Substitution Evaluation Checklist (page 4)</w:t>
      </w:r>
    </w:p>
    <w:p w14:paraId="48D5C598" w14:textId="77777777" w:rsidR="00AC7678" w:rsidRDefault="00A17404">
      <w:pPr>
        <w:spacing w:before="80" w:after="160"/>
      </w:pPr>
      <w:r>
        <w:rPr>
          <w:b/>
          <w:bCs/>
        </w:rPr>
        <w:t xml:space="preserve">Need help? </w:t>
      </w:r>
      <w:r>
        <w:t>A2P engineering staff can review substitution submittals with you, run project-specific thermal comparisons, and provide documentation for your project file. See page 4 for full support details.</w:t>
      </w:r>
    </w:p>
    <w:p w14:paraId="4C0A28B1" w14:textId="77777777" w:rsidR="00AC7678" w:rsidRDefault="00AC7678">
      <w:pPr>
        <w:pBdr>
          <w:bottom w:val="single" w:sz="4" w:space="1" w:color="CCCCCC"/>
        </w:pBdr>
        <w:spacing w:before="160" w:after="160"/>
      </w:pPr>
    </w:p>
    <w:p w14:paraId="3CC7EB4A" w14:textId="77777777" w:rsidR="00AC7678" w:rsidRDefault="00A17404">
      <w:pPr>
        <w:spacing w:after="80"/>
      </w:pPr>
      <w:r>
        <w:rPr>
          <w:b/>
          <w:bCs/>
          <w:color w:val="00447C"/>
          <w:sz w:val="24"/>
          <w:szCs w:val="24"/>
        </w:rPr>
        <w:t>WHY SPECIFICATIONS GET CHALLENGED</w:t>
      </w:r>
    </w:p>
    <w:p w14:paraId="5C9A3951" w14:textId="77777777" w:rsidR="00AC7678" w:rsidRDefault="00A17404">
      <w:pPr>
        <w:spacing w:after="80"/>
      </w:pPr>
      <w:r>
        <w:t>Substitution requests during bidding are common and not inherently adversarial. Understanding what drives them helps you respond strategically rather than defensively.</w:t>
      </w:r>
    </w:p>
    <w:p w14:paraId="2395C48D" w14:textId="77777777" w:rsidR="00AC7678" w:rsidRDefault="00A17404">
      <w:pPr>
        <w:spacing w:after="80"/>
      </w:pPr>
      <w:r>
        <w:rPr>
          <w:b/>
          <w:bCs/>
        </w:rPr>
        <w:t xml:space="preserve">Cost pressure: </w:t>
      </w:r>
      <w:r>
        <w:t>GCs look for savings during value engineering. Fenestration support framing is often targeted because it’s unfamiliar — they see a line item they haven’t priced before and assume there’s a cheaper way.</w:t>
      </w:r>
    </w:p>
    <w:p w14:paraId="43A20CD2" w14:textId="77777777" w:rsidR="00AC7678" w:rsidRDefault="00A17404">
      <w:pPr>
        <w:spacing w:after="80"/>
      </w:pPr>
      <w:r>
        <w:rPr>
          <w:b/>
          <w:bCs/>
        </w:rPr>
        <w:t xml:space="preserve">Existing relationships: </w:t>
      </w:r>
      <w:r>
        <w:t xml:space="preserve">Subcontractors may prefer products they’ve installed before, regardless of performance differences. Familiarity feels </w:t>
      </w:r>
      <w:proofErr w:type="gramStart"/>
      <w:r>
        <w:t>lower-risk</w:t>
      </w:r>
      <w:proofErr w:type="gramEnd"/>
      <w:r>
        <w:t>.</w:t>
      </w:r>
    </w:p>
    <w:p w14:paraId="3AD2A596" w14:textId="77777777" w:rsidR="00AC7678" w:rsidRDefault="00A17404">
      <w:pPr>
        <w:spacing w:after="80"/>
      </w:pPr>
      <w:r>
        <w:rPr>
          <w:b/>
          <w:bCs/>
        </w:rPr>
        <w:t xml:space="preserve">“Or equal” misunderstanding: </w:t>
      </w:r>
      <w:r>
        <w:t>Some propose substitutions based on a single matching attribute (e.g., similar R-value) without evaluating the complete performance profile.</w:t>
      </w:r>
    </w:p>
    <w:p w14:paraId="3E274867" w14:textId="77777777" w:rsidR="00AC7678" w:rsidRDefault="00A17404">
      <w:pPr>
        <w:spacing w:after="80"/>
      </w:pPr>
      <w:r>
        <w:rPr>
          <w:b/>
          <w:bCs/>
        </w:rPr>
        <w:t xml:space="preserve">Incomplete information: </w:t>
      </w:r>
      <w:r>
        <w:t>The proposed substitute may have limited published data, making it difficult to evaluate against the seven interdependent performance requirements.</w:t>
      </w:r>
    </w:p>
    <w:p w14:paraId="04117A41" w14:textId="77777777" w:rsidR="00AC7678" w:rsidRDefault="00A17404">
      <w:pPr>
        <w:spacing w:after="160"/>
      </w:pPr>
      <w:r>
        <w:rPr>
          <w:b/>
          <w:bCs/>
        </w:rPr>
        <w:t xml:space="preserve">The key principle: </w:t>
      </w:r>
      <w:r>
        <w:t xml:space="preserve">The specification defines what the building needs. Your role is to verify that any proposed product meets </w:t>
      </w:r>
      <w:proofErr w:type="gramStart"/>
      <w:r>
        <w:t>all of</w:t>
      </w:r>
      <w:proofErr w:type="gramEnd"/>
      <w:r>
        <w:t xml:space="preserve"> those needs — not just some of them.</w:t>
      </w:r>
    </w:p>
    <w:p w14:paraId="2D8BB321" w14:textId="77777777" w:rsidR="00AC7678" w:rsidRDefault="00AC7678">
      <w:pPr>
        <w:pBdr>
          <w:bottom w:val="single" w:sz="4" w:space="1" w:color="CCCCCC"/>
        </w:pBdr>
        <w:spacing w:before="160" w:after="160"/>
      </w:pPr>
    </w:p>
    <w:p w14:paraId="6363D692" w14:textId="77777777" w:rsidR="00AC7678" w:rsidRDefault="00A17404">
      <w:pPr>
        <w:spacing w:after="80"/>
      </w:pPr>
      <w:r>
        <w:rPr>
          <w:b/>
          <w:bCs/>
          <w:color w:val="00447C"/>
          <w:sz w:val="24"/>
          <w:szCs w:val="24"/>
        </w:rPr>
        <w:t>WHAT’S AT STAKE: THE COST OF INFERIOR THERMAL PERFORMANCE</w:t>
      </w:r>
    </w:p>
    <w:p w14:paraId="082B9A3A" w14:textId="77777777" w:rsidR="00AC7678" w:rsidRDefault="00A17404">
      <w:pPr>
        <w:spacing w:after="80"/>
      </w:pPr>
      <w:r>
        <w:t>Thermal bridging at fenestration perimeters is not a minor detail — it is often the single largest source of uncontrolled heat loss in a wall assembly.</w:t>
      </w:r>
    </w:p>
    <w:p w14:paraId="0BC847DD" w14:textId="77777777" w:rsidR="00AC7678" w:rsidRDefault="00A17404">
      <w:pPr>
        <w:spacing w:before="120" w:after="60"/>
      </w:pPr>
      <w:r>
        <w:rPr>
          <w:b/>
          <w:bCs/>
          <w:color w:val="00447C"/>
        </w:rPr>
        <w:t>Sample Project Impact</w:t>
      </w:r>
    </w:p>
    <w:p w14:paraId="1D79A3E2" w14:textId="193B0723" w:rsidR="00AC7678" w:rsidRDefault="00A17404">
      <w:pPr>
        <w:spacing w:after="80"/>
      </w:pPr>
      <w:r>
        <w:rPr>
          <w:i/>
          <w:iCs/>
          <w:color w:val="666666"/>
        </w:rPr>
        <w:t xml:space="preserve">50,000 sq ft, Chicago CZ5, Steel-Framed, Ext. CI R-20, 30% WWR, 4” </w:t>
      </w:r>
      <w:r w:rsidR="00216A5A">
        <w:rPr>
          <w:i/>
          <w:iCs/>
          <w:color w:val="666666"/>
        </w:rPr>
        <w:t xml:space="preserve">GreenGirt </w:t>
      </w:r>
      <w:r>
        <w:rPr>
          <w:i/>
          <w:iCs/>
          <w:color w:val="666666"/>
        </w:rPr>
        <w:t>XO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628"/>
        <w:gridCol w:w="2015"/>
        <w:gridCol w:w="2015"/>
        <w:gridCol w:w="1702"/>
      </w:tblGrid>
      <w:tr w:rsidR="00AC7678" w14:paraId="6390FD96" w14:textId="77777777" w:rsidTr="00475791">
        <w:tc>
          <w:tcPr>
            <w:tcW w:w="324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5E90CA39" w14:textId="77777777" w:rsidR="00AC7678" w:rsidRPr="00475791" w:rsidRDefault="00A17404">
            <w:pPr>
              <w:rPr>
                <w:color w:val="FFFFFF" w:themeColor="background1"/>
              </w:rPr>
            </w:pPr>
            <w:r w:rsidRPr="00475791">
              <w:rPr>
                <w:b/>
                <w:bCs/>
                <w:color w:val="FFFFFF" w:themeColor="background1"/>
                <w:sz w:val="16"/>
                <w:szCs w:val="16"/>
              </w:rPr>
              <w:t>Metric</w:t>
            </w:r>
          </w:p>
        </w:tc>
        <w:tc>
          <w:tcPr>
            <w:tcW w:w="180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73AAE497" w14:textId="77777777" w:rsidR="00AC7678" w:rsidRPr="00475791" w:rsidRDefault="00A17404">
            <w:pPr>
              <w:rPr>
                <w:color w:val="FFFFFF" w:themeColor="background1"/>
              </w:rPr>
            </w:pPr>
            <w:r w:rsidRPr="00475791">
              <w:rPr>
                <w:b/>
                <w:bCs/>
                <w:color w:val="FFFFFF" w:themeColor="background1"/>
                <w:sz w:val="16"/>
                <w:szCs w:val="16"/>
              </w:rPr>
              <w:t>Legacy (Steel)</w:t>
            </w:r>
          </w:p>
        </w:tc>
        <w:tc>
          <w:tcPr>
            <w:tcW w:w="180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7E1066AB" w14:textId="77777777" w:rsidR="00AC7678" w:rsidRPr="00475791" w:rsidRDefault="00A17404">
            <w:pPr>
              <w:rPr>
                <w:color w:val="FFFFFF" w:themeColor="background1"/>
              </w:rPr>
            </w:pPr>
            <w:r w:rsidRPr="00475791">
              <w:rPr>
                <w:b/>
                <w:bCs/>
                <w:color w:val="FFFFFF" w:themeColor="background1"/>
                <w:sz w:val="16"/>
                <w:szCs w:val="16"/>
              </w:rPr>
              <w:t>GreenGirt XO</w:t>
            </w:r>
          </w:p>
        </w:tc>
        <w:tc>
          <w:tcPr>
            <w:tcW w:w="1520" w:type="dxa"/>
            <w:tcBorders>
              <w:top w:val="single" w:sz="1" w:space="0" w:color="CCCCCC"/>
              <w:left w:val="single" w:sz="1" w:space="0" w:color="CCCCCC"/>
              <w:bottom w:val="single" w:sz="1" w:space="0" w:color="CCCCCC"/>
              <w:right w:val="single" w:sz="1" w:space="0" w:color="CCCCCC"/>
            </w:tcBorders>
            <w:shd w:val="clear" w:color="auto" w:fill="00447C"/>
            <w:tcMar>
              <w:top w:w="80" w:type="dxa"/>
              <w:left w:w="120" w:type="dxa"/>
              <w:bottom w:w="80" w:type="dxa"/>
              <w:right w:w="120" w:type="dxa"/>
            </w:tcMar>
          </w:tcPr>
          <w:p w14:paraId="563FAB07" w14:textId="77777777" w:rsidR="00AC7678" w:rsidRPr="00475791" w:rsidRDefault="00A17404">
            <w:pPr>
              <w:rPr>
                <w:color w:val="FFFFFF" w:themeColor="background1"/>
              </w:rPr>
            </w:pPr>
            <w:r w:rsidRPr="00475791">
              <w:rPr>
                <w:b/>
                <w:bCs/>
                <w:color w:val="FFFFFF" w:themeColor="background1"/>
                <w:sz w:val="16"/>
                <w:szCs w:val="16"/>
              </w:rPr>
              <w:t>Difference</w:t>
            </w:r>
          </w:p>
        </w:tc>
      </w:tr>
      <w:tr w:rsidR="00AC7678" w14:paraId="2BA2BA77" w14:textId="77777777">
        <w:tc>
          <w:tcPr>
            <w:tcW w:w="32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C5D5FB9" w14:textId="77777777" w:rsidR="00AC7678" w:rsidRDefault="00A17404">
            <w:r>
              <w:rPr>
                <w:sz w:val="16"/>
                <w:szCs w:val="16"/>
              </w:rPr>
              <w:t>Psi at sill/head/jamb (Btu/</w:t>
            </w:r>
            <w:proofErr w:type="spellStart"/>
            <w:r>
              <w:rPr>
                <w:sz w:val="16"/>
                <w:szCs w:val="16"/>
              </w:rPr>
              <w:t>hr·ft</w:t>
            </w:r>
            <w:proofErr w:type="spellEnd"/>
            <w:r>
              <w:rPr>
                <w:sz w:val="16"/>
                <w:szCs w:val="16"/>
              </w:rPr>
              <w:t>·°F)</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52E1C31" w14:textId="77777777" w:rsidR="00AC7678" w:rsidRDefault="00A17404">
            <w:r>
              <w:rPr>
                <w:sz w:val="16"/>
                <w:szCs w:val="16"/>
              </w:rPr>
              <w:t>0.29</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4FC516D" w14:textId="77777777" w:rsidR="00AC7678" w:rsidRDefault="00A17404">
            <w:r>
              <w:rPr>
                <w:sz w:val="16"/>
                <w:szCs w:val="16"/>
              </w:rPr>
              <w:t>0.021</w:t>
            </w:r>
          </w:p>
        </w:tc>
        <w:tc>
          <w:tcPr>
            <w:tcW w:w="15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ECCA355" w14:textId="77777777" w:rsidR="00AC7678" w:rsidRDefault="00A17404">
            <w:r>
              <w:rPr>
                <w:sz w:val="16"/>
                <w:szCs w:val="16"/>
              </w:rPr>
              <w:t>93% reduction</w:t>
            </w:r>
          </w:p>
        </w:tc>
      </w:tr>
      <w:tr w:rsidR="00AC7678" w14:paraId="2E8E5D65" w14:textId="77777777">
        <w:tc>
          <w:tcPr>
            <w:tcW w:w="32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CD81EC1" w14:textId="77777777" w:rsidR="00AC7678" w:rsidRDefault="00A17404">
            <w:r>
              <w:rPr>
                <w:sz w:val="16"/>
                <w:szCs w:val="16"/>
              </w:rPr>
              <w:t>Total thermal bridge loss (Btu/</w:t>
            </w:r>
            <w:proofErr w:type="spellStart"/>
            <w:r>
              <w:rPr>
                <w:sz w:val="16"/>
                <w:szCs w:val="16"/>
              </w:rPr>
              <w:t>hr</w:t>
            </w:r>
            <w:proofErr w:type="spellEnd"/>
            <w:r>
              <w:rPr>
                <w:sz w:val="16"/>
                <w:szCs w:val="16"/>
              </w:rPr>
              <w:t>·°F)</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A209C72" w14:textId="77777777" w:rsidR="00AC7678" w:rsidRDefault="00A17404">
            <w:r>
              <w:rPr>
                <w:sz w:val="16"/>
                <w:szCs w:val="16"/>
              </w:rPr>
              <w:t>3,942</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01E7C15" w14:textId="77777777" w:rsidR="00AC7678" w:rsidRDefault="00A17404">
            <w:r>
              <w:rPr>
                <w:sz w:val="16"/>
                <w:szCs w:val="16"/>
              </w:rPr>
              <w:t>307</w:t>
            </w:r>
          </w:p>
        </w:tc>
        <w:tc>
          <w:tcPr>
            <w:tcW w:w="15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C8B1415" w14:textId="77777777" w:rsidR="00AC7678" w:rsidRDefault="00A17404">
            <w:r>
              <w:rPr>
                <w:sz w:val="16"/>
                <w:szCs w:val="16"/>
              </w:rPr>
              <w:t>92% reduction</w:t>
            </w:r>
          </w:p>
        </w:tc>
      </w:tr>
      <w:tr w:rsidR="00AC7678" w14:paraId="2503D01A" w14:textId="77777777">
        <w:tc>
          <w:tcPr>
            <w:tcW w:w="32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6A1B798" w14:textId="77777777" w:rsidR="00AC7678" w:rsidRDefault="00A17404">
            <w:r>
              <w:rPr>
                <w:sz w:val="16"/>
                <w:szCs w:val="16"/>
              </w:rPr>
              <w:t>Wall assembly R-value retained</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50D1C22" w14:textId="77777777" w:rsidR="00AC7678" w:rsidRDefault="00A17404">
            <w:r>
              <w:rPr>
                <w:sz w:val="16"/>
                <w:szCs w:val="16"/>
              </w:rPr>
              <w:t>22% of nominal</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2FD1CFF" w14:textId="77777777" w:rsidR="00AC7678" w:rsidRDefault="00A17404">
            <w:r>
              <w:rPr>
                <w:sz w:val="16"/>
                <w:szCs w:val="16"/>
              </w:rPr>
              <w:t>33% of nominal</w:t>
            </w:r>
          </w:p>
        </w:tc>
        <w:tc>
          <w:tcPr>
            <w:tcW w:w="15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34E118B" w14:textId="77777777" w:rsidR="00AC7678" w:rsidRDefault="00A17404">
            <w:r>
              <w:rPr>
                <w:sz w:val="16"/>
                <w:szCs w:val="16"/>
              </w:rPr>
              <w:t>50% better</w:t>
            </w:r>
          </w:p>
        </w:tc>
      </w:tr>
      <w:tr w:rsidR="00AC7678" w14:paraId="686F1DCE" w14:textId="77777777">
        <w:tc>
          <w:tcPr>
            <w:tcW w:w="32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E532E51" w14:textId="77777777" w:rsidR="00AC7678" w:rsidRDefault="00A17404">
            <w:r>
              <w:rPr>
                <w:sz w:val="16"/>
                <w:szCs w:val="16"/>
              </w:rPr>
              <w:t>Assembly U-value</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824AE17" w14:textId="77777777" w:rsidR="00AC7678" w:rsidRDefault="00A17404">
            <w:r>
              <w:rPr>
                <w:sz w:val="16"/>
                <w:szCs w:val="16"/>
              </w:rPr>
              <w:t>0.2226</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237B24D" w14:textId="77777777" w:rsidR="00AC7678" w:rsidRDefault="00A17404">
            <w:r>
              <w:rPr>
                <w:sz w:val="16"/>
                <w:szCs w:val="16"/>
              </w:rPr>
              <w:t>0.1513</w:t>
            </w:r>
          </w:p>
        </w:tc>
        <w:tc>
          <w:tcPr>
            <w:tcW w:w="15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DBFF6E3" w14:textId="77777777" w:rsidR="00AC7678" w:rsidRDefault="00A17404">
            <w:r>
              <w:rPr>
                <w:sz w:val="16"/>
                <w:szCs w:val="16"/>
              </w:rPr>
              <w:t>32% lower loss</w:t>
            </w:r>
          </w:p>
        </w:tc>
      </w:tr>
      <w:tr w:rsidR="00AC7678" w14:paraId="6D0FB24B" w14:textId="77777777">
        <w:tc>
          <w:tcPr>
            <w:tcW w:w="32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9D762A6" w14:textId="77777777" w:rsidR="00AC7678" w:rsidRDefault="00A17404">
            <w:r>
              <w:rPr>
                <w:sz w:val="16"/>
                <w:szCs w:val="16"/>
              </w:rPr>
              <w:t>Annual energy cost</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6F0229E" w14:textId="77777777" w:rsidR="00AC7678" w:rsidRDefault="00A17404">
            <w:r>
              <w:rPr>
                <w:sz w:val="16"/>
                <w:szCs w:val="16"/>
              </w:rPr>
              <w:t>$30,461/yr savings</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56CD698" w14:textId="77777777" w:rsidR="00AC7678" w:rsidRDefault="00AC7678"/>
        </w:tc>
        <w:tc>
          <w:tcPr>
            <w:tcW w:w="15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B718533" w14:textId="77777777" w:rsidR="00AC7678" w:rsidRDefault="00AC7678"/>
        </w:tc>
      </w:tr>
      <w:tr w:rsidR="00AC7678" w14:paraId="0CC72FBD" w14:textId="77777777">
        <w:tc>
          <w:tcPr>
            <w:tcW w:w="324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E37CD01" w14:textId="77777777" w:rsidR="00AC7678" w:rsidRDefault="00A17404">
            <w:r>
              <w:rPr>
                <w:sz w:val="16"/>
                <w:szCs w:val="16"/>
              </w:rPr>
              <w:lastRenderedPageBreak/>
              <w:t>20-year lifecycle savings</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DC04641" w14:textId="77777777" w:rsidR="00AC7678" w:rsidRDefault="00A17404">
            <w:r>
              <w:rPr>
                <w:sz w:val="16"/>
                <w:szCs w:val="16"/>
              </w:rPr>
              <w:t>$1,007,224</w:t>
            </w:r>
          </w:p>
        </w:tc>
        <w:tc>
          <w:tcPr>
            <w:tcW w:w="18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453E982" w14:textId="77777777" w:rsidR="00AC7678" w:rsidRDefault="00AC7678"/>
        </w:tc>
        <w:tc>
          <w:tcPr>
            <w:tcW w:w="152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231D50D" w14:textId="77777777" w:rsidR="00AC7678" w:rsidRDefault="00AC7678"/>
        </w:tc>
      </w:tr>
    </w:tbl>
    <w:p w14:paraId="507F1B3C" w14:textId="77777777" w:rsidR="00AC7678" w:rsidRDefault="00AC7678">
      <w:pPr>
        <w:pBdr>
          <w:bottom w:val="single" w:sz="4" w:space="1" w:color="CCCCCC"/>
        </w:pBdr>
        <w:spacing w:before="160" w:after="160"/>
      </w:pPr>
    </w:p>
    <w:p w14:paraId="3744A1C4" w14:textId="77777777" w:rsidR="00AC7678" w:rsidRDefault="00A17404">
      <w:pPr>
        <w:pBdr>
          <w:bottom w:val="single" w:sz="8" w:space="6" w:color="00447C"/>
        </w:pBdr>
        <w:spacing w:before="200" w:after="200"/>
        <w:jc w:val="center"/>
      </w:pPr>
      <w:r>
        <w:rPr>
          <w:b/>
          <w:bCs/>
          <w:color w:val="00447C"/>
          <w:sz w:val="32"/>
          <w:szCs w:val="32"/>
        </w:rPr>
        <w:t>STEP 1: EVALUATE THE PRODUCT — THE SEVEN PERFORMANCE REQUIREMENTS</w:t>
      </w:r>
    </w:p>
    <w:p w14:paraId="5EFEB54B" w14:textId="77777777" w:rsidR="00AC7678" w:rsidRDefault="00A17404">
      <w:pPr>
        <w:spacing w:before="80" w:after="120"/>
        <w:ind w:left="720"/>
      </w:pPr>
      <w:r>
        <w:rPr>
          <w:i/>
          <w:iCs/>
          <w:color w:val="666666"/>
        </w:rPr>
        <w:t xml:space="preserve">Products must meet ALL SEVEN requirements. A product that excels at thermal but fails </w:t>
      </w:r>
      <w:proofErr w:type="gramStart"/>
      <w:r>
        <w:rPr>
          <w:i/>
          <w:iCs/>
          <w:color w:val="666666"/>
        </w:rPr>
        <w:t>structural</w:t>
      </w:r>
      <w:proofErr w:type="gramEnd"/>
      <w:r>
        <w:rPr>
          <w:i/>
          <w:iCs/>
          <w:color w:val="666666"/>
        </w:rPr>
        <w:t xml:space="preserve"> still fails. Partial compliance is not compliance.</w:t>
      </w:r>
    </w:p>
    <w:p w14:paraId="6C7DD6F5" w14:textId="77777777" w:rsidR="00AC7678" w:rsidRDefault="00A17404">
      <w:pPr>
        <w:spacing w:before="140" w:after="60"/>
      </w:pPr>
      <w:r>
        <w:rPr>
          <w:b/>
          <w:bCs/>
          <w:color w:val="00447C"/>
          <w:sz w:val="20"/>
          <w:szCs w:val="20"/>
        </w:rPr>
        <w:t>PERFORMANCE REQUIREMENT 1: Thermal Performance</w:t>
      </w:r>
    </w:p>
    <w:p w14:paraId="32AC779B" w14:textId="77777777" w:rsidR="00AC7678" w:rsidRDefault="00A17404">
      <w:pPr>
        <w:spacing w:after="60"/>
        <w:ind w:left="720" w:hanging="260"/>
      </w:pPr>
      <w:r>
        <w:rPr>
          <w:b/>
          <w:bCs/>
        </w:rPr>
        <w:t xml:space="preserve">•  Requirement: </w:t>
      </w:r>
      <w:r>
        <w:t>Psi ≤ 0.025 Btu/(</w:t>
      </w:r>
      <w:proofErr w:type="spellStart"/>
      <w:r>
        <w:t>hr·ft</w:t>
      </w:r>
      <w:proofErr w:type="spellEnd"/>
      <w:r>
        <w:t>·°F) [0.043 W/(</w:t>
      </w:r>
      <w:proofErr w:type="spellStart"/>
      <w:r>
        <w:t>m·K</w:t>
      </w:r>
      <w:proofErr w:type="spellEnd"/>
      <w:r>
        <w:t xml:space="preserve">)] at sill, head, and jamb. Third-party verified </w:t>
      </w:r>
      <w:proofErr w:type="gramStart"/>
      <w:r>
        <w:t>per</w:t>
      </w:r>
      <w:proofErr w:type="gramEnd"/>
      <w:r>
        <w:t xml:space="preserve"> ISO 10211. Wall assembly context (backup framing, CI depth, fenestration type) disclosed.</w:t>
      </w:r>
    </w:p>
    <w:p w14:paraId="1D753FDD" w14:textId="77777777" w:rsidR="00AC7678" w:rsidRDefault="00A17404">
      <w:pPr>
        <w:spacing w:after="60"/>
        <w:ind w:left="720" w:hanging="260"/>
      </w:pPr>
      <w:r>
        <w:rPr>
          <w:b/>
          <w:bCs/>
        </w:rPr>
        <w:t xml:space="preserve">•  Ask: </w:t>
      </w:r>
      <w:r>
        <w:t>“Provide third-party Psi values for sill, head, and jamb — not R-values.”</w:t>
      </w:r>
    </w:p>
    <w:p w14:paraId="361FD0DC" w14:textId="77777777" w:rsidR="00AC7678" w:rsidRDefault="00A17404">
      <w:pPr>
        <w:spacing w:after="60"/>
        <w:ind w:left="720" w:hanging="260"/>
      </w:pPr>
      <w:r>
        <w:rPr>
          <w:b/>
          <w:bCs/>
        </w:rPr>
        <w:t xml:space="preserve">•  Red Flags: </w:t>
      </w:r>
      <w:r>
        <w:t>R-value claims without Psi. Manufacturer-only thermal models. No ISO 10211 reference.</w:t>
      </w:r>
    </w:p>
    <w:p w14:paraId="7D9C5E03" w14:textId="77777777" w:rsidR="00AC7678" w:rsidRDefault="00A17404">
      <w:pPr>
        <w:spacing w:after="60"/>
        <w:ind w:left="720" w:hanging="260"/>
      </w:pPr>
      <w:r>
        <w:rPr>
          <w:b/>
          <w:bCs/>
        </w:rPr>
        <w:t xml:space="preserve">•  If This Fails: </w:t>
      </w:r>
      <w:r>
        <w:t>Each increase in Psi adds thousands of Btu/</w:t>
      </w:r>
      <w:proofErr w:type="spellStart"/>
      <w:r>
        <w:t>hr</w:t>
      </w:r>
      <w:proofErr w:type="spellEnd"/>
      <w:r>
        <w:t xml:space="preserve">·°F in thermal bridging. Energy </w:t>
      </w:r>
      <w:proofErr w:type="gramStart"/>
      <w:r>
        <w:t>model</w:t>
      </w:r>
      <w:proofErr w:type="gramEnd"/>
      <w:r>
        <w:t xml:space="preserve"> may no longer comply.</w:t>
      </w:r>
    </w:p>
    <w:p w14:paraId="72CF8DFA" w14:textId="77777777" w:rsidR="00AC7678" w:rsidRDefault="00A17404">
      <w:pPr>
        <w:spacing w:before="140" w:after="60"/>
      </w:pPr>
      <w:r>
        <w:rPr>
          <w:b/>
          <w:bCs/>
          <w:color w:val="00447C"/>
          <w:sz w:val="20"/>
          <w:szCs w:val="20"/>
        </w:rPr>
        <w:t>PERFORMANCE REQUIREMENT 2: Thermal Plane Alignment</w:t>
      </w:r>
    </w:p>
    <w:p w14:paraId="1F869773" w14:textId="77777777" w:rsidR="00AC7678" w:rsidRDefault="00A17404">
      <w:pPr>
        <w:spacing w:after="60"/>
        <w:ind w:left="720" w:hanging="260"/>
      </w:pPr>
      <w:r>
        <w:rPr>
          <w:b/>
          <w:bCs/>
        </w:rPr>
        <w:t xml:space="preserve">•  Requirement: </w:t>
      </w:r>
      <w:r>
        <w:t>Outermost glazing surface flush with exterior face of CI or recessed up to 1” inboard. Shall not extend outboard of CI plane. Thermal flanking eliminated at all perimeter conditions.</w:t>
      </w:r>
    </w:p>
    <w:p w14:paraId="096CD259" w14:textId="77777777" w:rsidR="00AC7678" w:rsidRDefault="00A17404">
      <w:pPr>
        <w:spacing w:after="60"/>
        <w:ind w:left="720" w:hanging="260"/>
      </w:pPr>
      <w:r>
        <w:rPr>
          <w:b/>
          <w:bCs/>
        </w:rPr>
        <w:t xml:space="preserve">•  Ask: </w:t>
      </w:r>
      <w:r>
        <w:t>“Show section detail demonstrating glazing alignment with the CI plane, with dimension annotated.”</w:t>
      </w:r>
    </w:p>
    <w:p w14:paraId="2ECE6352" w14:textId="77777777" w:rsidR="00AC7678" w:rsidRDefault="00A17404">
      <w:pPr>
        <w:spacing w:after="60"/>
        <w:ind w:left="720" w:hanging="260"/>
      </w:pPr>
      <w:r>
        <w:rPr>
          <w:b/>
          <w:bCs/>
        </w:rPr>
        <w:t xml:space="preserve">•  Red Flags: </w:t>
      </w:r>
      <w:r>
        <w:t>No section detail provided. Alignment tolerance not stated or exceeds 1” inboard. Window seated well inboard of CI plane.</w:t>
      </w:r>
    </w:p>
    <w:p w14:paraId="3EC5031A" w14:textId="77777777" w:rsidR="00AC7678" w:rsidRDefault="00A17404">
      <w:pPr>
        <w:spacing w:after="60"/>
        <w:ind w:left="720" w:hanging="260"/>
      </w:pPr>
      <w:r>
        <w:rPr>
          <w:b/>
          <w:bCs/>
        </w:rPr>
        <w:t xml:space="preserve">•  If This Fails: </w:t>
      </w:r>
      <w:r>
        <w:t>Misalignment creates thermal bypass around insulation. Condensation risk at interior surfaces. Comfort complaints at perimeter.</w:t>
      </w:r>
    </w:p>
    <w:p w14:paraId="2714CCC5" w14:textId="77777777" w:rsidR="00AC7678" w:rsidRDefault="00A17404">
      <w:pPr>
        <w:spacing w:before="140" w:after="60"/>
      </w:pPr>
      <w:r>
        <w:rPr>
          <w:b/>
          <w:bCs/>
          <w:color w:val="00447C"/>
          <w:sz w:val="20"/>
          <w:szCs w:val="20"/>
        </w:rPr>
        <w:t>PERFORMANCE REQUIREMENT 3: Structural Performance</w:t>
      </w:r>
    </w:p>
    <w:p w14:paraId="6400709D" w14:textId="77777777" w:rsidR="00AC7678" w:rsidRDefault="00A17404">
      <w:pPr>
        <w:spacing w:after="60"/>
        <w:ind w:left="720" w:hanging="260"/>
      </w:pPr>
      <w:r>
        <w:rPr>
          <w:b/>
          <w:bCs/>
        </w:rPr>
        <w:t xml:space="preserve">•  Requirement: </w:t>
      </w:r>
      <w:r>
        <w:t>Project-specific PE-stamped calcs. Eccentric cantilever analysis required. Anisotropic material properties of composite, lumber, and other non-metal materials accounted for. All fasteners shall terminate in metal backers or bolted connections only.</w:t>
      </w:r>
    </w:p>
    <w:p w14:paraId="7FED2913" w14:textId="77777777" w:rsidR="00AC7678" w:rsidRDefault="00A17404">
      <w:pPr>
        <w:spacing w:after="60"/>
        <w:ind w:left="720" w:hanging="260"/>
      </w:pPr>
      <w:r>
        <w:rPr>
          <w:b/>
          <w:bCs/>
        </w:rPr>
        <w:t xml:space="preserve">•  Ask: </w:t>
      </w:r>
      <w:r>
        <w:t>“Provide PE-stamped calculations for this project’s loading, including eccentric cantilever analysis and anisotropic material properties. Confirm all fastener terminations are in metal backers or bolted connections.”</w:t>
      </w:r>
    </w:p>
    <w:p w14:paraId="484DA946" w14:textId="77777777" w:rsidR="00AC7678" w:rsidRDefault="00A17404">
      <w:pPr>
        <w:spacing w:after="60"/>
        <w:ind w:left="720" w:hanging="260"/>
      </w:pPr>
      <w:r>
        <w:rPr>
          <w:b/>
          <w:bCs/>
        </w:rPr>
        <w:t xml:space="preserve">•  Red Flags: </w:t>
      </w:r>
      <w:r>
        <w:t xml:space="preserve">Uniform load calcs only (not eccentric). No PE available. Anisotropic properties only stated lengthwise (no crosswise). Fasteners </w:t>
      </w:r>
      <w:proofErr w:type="gramStart"/>
      <w:r>
        <w:t>terminating</w:t>
      </w:r>
      <w:proofErr w:type="gramEnd"/>
      <w:r>
        <w:t xml:space="preserve"> in composite, FRP, or wood without metal reinforcement.</w:t>
      </w:r>
    </w:p>
    <w:p w14:paraId="6663C782" w14:textId="77777777" w:rsidR="00AC7678" w:rsidRDefault="00A17404">
      <w:pPr>
        <w:spacing w:after="60"/>
        <w:ind w:left="720" w:hanging="260"/>
      </w:pPr>
      <w:r>
        <w:rPr>
          <w:b/>
          <w:bCs/>
        </w:rPr>
        <w:t xml:space="preserve">•  If This Fails: </w:t>
      </w:r>
      <w:r>
        <w:t>Code compliance failure. Under-engineered load path. Fastener pull-out failure under eccentric loading.</w:t>
      </w:r>
    </w:p>
    <w:p w14:paraId="1CE9A158" w14:textId="77777777" w:rsidR="00AC7678" w:rsidRDefault="00A17404">
      <w:pPr>
        <w:spacing w:before="140" w:after="60"/>
      </w:pPr>
      <w:r>
        <w:rPr>
          <w:b/>
          <w:bCs/>
          <w:color w:val="00447C"/>
          <w:sz w:val="20"/>
          <w:szCs w:val="20"/>
        </w:rPr>
        <w:t>PERFORMANCE REQUIREMENT 4: Air/Water Resistance</w:t>
      </w:r>
    </w:p>
    <w:p w14:paraId="49DF5BA6" w14:textId="77777777" w:rsidR="00AC7678" w:rsidRDefault="00A17404">
      <w:pPr>
        <w:spacing w:after="60"/>
        <w:ind w:left="720" w:hanging="260"/>
      </w:pPr>
      <w:r>
        <w:rPr>
          <w:b/>
          <w:bCs/>
        </w:rPr>
        <w:t xml:space="preserve">•  Requirement: </w:t>
      </w:r>
      <w:r>
        <w:t xml:space="preserve">50 </w:t>
      </w:r>
      <w:proofErr w:type="spellStart"/>
      <w:r>
        <w:t>psf</w:t>
      </w:r>
      <w:proofErr w:type="spellEnd"/>
      <w:r>
        <w:t xml:space="preserve"> per ASTM E2357 (air) and ASTM E331 (water). Non-porous, non-absorptive material.</w:t>
      </w:r>
    </w:p>
    <w:p w14:paraId="18CBCF5E" w14:textId="77777777" w:rsidR="00AC7678" w:rsidRDefault="00A17404">
      <w:pPr>
        <w:spacing w:after="60"/>
        <w:ind w:left="720" w:hanging="260"/>
      </w:pPr>
      <w:r>
        <w:rPr>
          <w:b/>
          <w:bCs/>
        </w:rPr>
        <w:t xml:space="preserve">•  Ask: </w:t>
      </w:r>
      <w:r>
        <w:t xml:space="preserve">“What pressure was testing performed at? Provide test reports at 50 </w:t>
      </w:r>
      <w:proofErr w:type="spellStart"/>
      <w:r>
        <w:t>psf</w:t>
      </w:r>
      <w:proofErr w:type="spellEnd"/>
      <w:r>
        <w:t xml:space="preserve"> minimum. Is the framing material non-porous or does it require surface wrapping?”</w:t>
      </w:r>
    </w:p>
    <w:p w14:paraId="5DDEF761" w14:textId="77777777" w:rsidR="00AC7678" w:rsidRDefault="00A17404">
      <w:pPr>
        <w:spacing w:after="60"/>
        <w:ind w:left="720" w:hanging="260"/>
      </w:pPr>
      <w:r>
        <w:rPr>
          <w:b/>
          <w:bCs/>
        </w:rPr>
        <w:t xml:space="preserve">•  Red Flags: </w:t>
      </w:r>
      <w:r>
        <w:t>Testing at 12 or 20 psf. Material absorbs moisture (wood bucks, foam products). Requires full-surface membrane wrapping for air barrier continuity.</w:t>
      </w:r>
    </w:p>
    <w:p w14:paraId="4DC520D9" w14:textId="77777777" w:rsidR="00AC7678" w:rsidRDefault="00A17404">
      <w:pPr>
        <w:spacing w:after="60"/>
        <w:ind w:left="720" w:hanging="260"/>
      </w:pPr>
      <w:r>
        <w:rPr>
          <w:b/>
          <w:bCs/>
        </w:rPr>
        <w:t xml:space="preserve">•  If This Fails: </w:t>
      </w:r>
      <w:r>
        <w:t xml:space="preserve">System unproven for real-world wind events. 12 </w:t>
      </w:r>
      <w:proofErr w:type="spellStart"/>
      <w:r>
        <w:t>psf</w:t>
      </w:r>
      <w:proofErr w:type="spellEnd"/>
      <w:r>
        <w:t xml:space="preserve"> is a strong wind; 50 </w:t>
      </w:r>
      <w:proofErr w:type="spellStart"/>
      <w:r>
        <w:t>psf</w:t>
      </w:r>
      <w:proofErr w:type="spellEnd"/>
      <w:r>
        <w:t xml:space="preserve"> is Category 4 hurricane. Absorptive materials change </w:t>
      </w:r>
      <w:proofErr w:type="gramStart"/>
      <w:r>
        <w:t>dimension</w:t>
      </w:r>
      <w:proofErr w:type="gramEnd"/>
      <w:r>
        <w:t xml:space="preserve"> and fail air seals over time.</w:t>
      </w:r>
    </w:p>
    <w:p w14:paraId="1E8A1228" w14:textId="77777777" w:rsidR="00AC7678" w:rsidRDefault="00A17404">
      <w:pPr>
        <w:spacing w:before="140" w:after="60"/>
      </w:pPr>
      <w:r>
        <w:rPr>
          <w:b/>
          <w:bCs/>
          <w:color w:val="00447C"/>
          <w:sz w:val="20"/>
          <w:szCs w:val="20"/>
        </w:rPr>
        <w:t>PERFORMANCE REQUIREMENT 5: Fire Safety</w:t>
      </w:r>
    </w:p>
    <w:p w14:paraId="31E73C88" w14:textId="77777777" w:rsidR="00AC7678" w:rsidRDefault="00A17404">
      <w:pPr>
        <w:spacing w:after="60"/>
        <w:ind w:left="720" w:hanging="260"/>
      </w:pPr>
      <w:r>
        <w:rPr>
          <w:b/>
          <w:bCs/>
        </w:rPr>
        <w:t xml:space="preserve">•  Requirement: </w:t>
      </w:r>
      <w:r>
        <w:t xml:space="preserve">Non-combustible dead load support per IBC Section 202. ASTM E84 Class A (FSI ≤25, SDI ≤450). NFPA 285 </w:t>
      </w:r>
      <w:proofErr w:type="gramStart"/>
      <w:r>
        <w:t>where</w:t>
      </w:r>
      <w:proofErr w:type="gramEnd"/>
      <w:r>
        <w:t xml:space="preserve"> required.</w:t>
      </w:r>
    </w:p>
    <w:p w14:paraId="0F0A097F" w14:textId="77777777" w:rsidR="00AC7678" w:rsidRDefault="00A17404">
      <w:pPr>
        <w:spacing w:after="60"/>
        <w:ind w:left="720" w:hanging="260"/>
      </w:pPr>
      <w:r>
        <w:rPr>
          <w:b/>
          <w:bCs/>
        </w:rPr>
        <w:t xml:space="preserve">•  Ask: </w:t>
      </w:r>
      <w:r>
        <w:t>“Are the dead load support members non-combustible per IBC? Provide ASTM E84 and NFPA 285 documentation.”</w:t>
      </w:r>
    </w:p>
    <w:p w14:paraId="0F1B09AF" w14:textId="77777777" w:rsidR="00AC7678" w:rsidRDefault="00A17404">
      <w:pPr>
        <w:spacing w:after="60"/>
        <w:ind w:left="720" w:hanging="260"/>
      </w:pPr>
      <w:r>
        <w:rPr>
          <w:b/>
          <w:bCs/>
        </w:rPr>
        <w:t xml:space="preserve">•  Red Flags: </w:t>
      </w:r>
      <w:r>
        <w:t>Plastic-only load-bearing components. No ASTM E84. No NFPA 285 assembly test or equivalency letter.</w:t>
      </w:r>
    </w:p>
    <w:p w14:paraId="1B4F2910" w14:textId="77777777" w:rsidR="00AC7678" w:rsidRDefault="00A17404">
      <w:pPr>
        <w:spacing w:after="60"/>
        <w:ind w:left="720" w:hanging="260"/>
      </w:pPr>
      <w:r>
        <w:rPr>
          <w:b/>
          <w:bCs/>
        </w:rPr>
        <w:t xml:space="preserve">•  If This Fails: </w:t>
      </w:r>
      <w:r>
        <w:t>Code compliance failure. Life safety liability.</w:t>
      </w:r>
    </w:p>
    <w:p w14:paraId="46E6FDEA" w14:textId="77777777" w:rsidR="00AC7678" w:rsidRDefault="00A17404">
      <w:pPr>
        <w:spacing w:before="140" w:after="60"/>
      </w:pPr>
      <w:r>
        <w:rPr>
          <w:b/>
          <w:bCs/>
          <w:color w:val="00447C"/>
          <w:sz w:val="20"/>
          <w:szCs w:val="20"/>
        </w:rPr>
        <w:t>PERFORMANCE REQUIREMENT 6: Single-Source Interface System</w:t>
      </w:r>
    </w:p>
    <w:p w14:paraId="26A7CF34" w14:textId="77777777" w:rsidR="00AC7678" w:rsidRDefault="00A17404">
      <w:pPr>
        <w:spacing w:after="60"/>
        <w:ind w:left="720" w:hanging="260"/>
      </w:pPr>
      <w:r>
        <w:rPr>
          <w:b/>
          <w:bCs/>
        </w:rPr>
        <w:t xml:space="preserve">•  Requirement: </w:t>
      </w:r>
      <w:r>
        <w:t>Modular aluminum interface flanges integrated via factory keyway. All components from one manufacturer, one warranty.</w:t>
      </w:r>
    </w:p>
    <w:p w14:paraId="0EC4C587" w14:textId="77777777" w:rsidR="00AC7678" w:rsidRDefault="00A17404">
      <w:pPr>
        <w:spacing w:after="60"/>
        <w:ind w:left="720" w:hanging="260"/>
      </w:pPr>
      <w:r>
        <w:rPr>
          <w:b/>
          <w:bCs/>
        </w:rPr>
        <w:lastRenderedPageBreak/>
        <w:t xml:space="preserve">•  Ask: </w:t>
      </w:r>
      <w:r>
        <w:t>“Are all system components — framing, interface hardware, clips, accessories — from one manufacturer under one warranty?”</w:t>
      </w:r>
    </w:p>
    <w:p w14:paraId="2DDA7208" w14:textId="77777777" w:rsidR="00AC7678" w:rsidRDefault="00A17404">
      <w:pPr>
        <w:spacing w:after="60"/>
        <w:ind w:left="720" w:hanging="260"/>
      </w:pPr>
      <w:r>
        <w:rPr>
          <w:b/>
          <w:bCs/>
        </w:rPr>
        <w:t xml:space="preserve">•  Red Flags: </w:t>
      </w:r>
      <w:r>
        <w:t>Interface components “by others.” Split warranty. Field-fabricated solutions for fastener attachment or weather sealing at framing-to-window interface.</w:t>
      </w:r>
    </w:p>
    <w:p w14:paraId="30557A45" w14:textId="77777777" w:rsidR="00AC7678" w:rsidRDefault="00A17404">
      <w:pPr>
        <w:spacing w:after="60"/>
        <w:ind w:left="720" w:hanging="260"/>
      </w:pPr>
      <w:r>
        <w:rPr>
          <w:b/>
          <w:bCs/>
        </w:rPr>
        <w:t xml:space="preserve">•  If This Fails: </w:t>
      </w:r>
      <w:r>
        <w:t>Split responsibility creates finger-pointing when failures occur. Field-applied solutions lack the tested performance of factory-engineered components.</w:t>
      </w:r>
    </w:p>
    <w:p w14:paraId="5A4068FB" w14:textId="77777777" w:rsidR="00AC7678" w:rsidRDefault="00A17404">
      <w:pPr>
        <w:spacing w:before="140" w:after="60"/>
      </w:pPr>
      <w:r>
        <w:rPr>
          <w:b/>
          <w:bCs/>
          <w:color w:val="00447C"/>
          <w:sz w:val="20"/>
          <w:szCs w:val="20"/>
        </w:rPr>
        <w:t>PERFORMANCE REQUIREMENT 7: Certified Assembly Thermal Performance</w:t>
      </w:r>
    </w:p>
    <w:p w14:paraId="74083CB2" w14:textId="77777777" w:rsidR="00AC7678" w:rsidRDefault="00A17404">
      <w:pPr>
        <w:spacing w:after="60"/>
        <w:ind w:left="720" w:hanging="260"/>
      </w:pPr>
      <w:r>
        <w:rPr>
          <w:b/>
          <w:bCs/>
        </w:rPr>
        <w:t xml:space="preserve">•  Requirement: </w:t>
      </w:r>
      <w:r>
        <w:t>Assembly Thermal Efficiency ≥ 93%. Chi ≤ 0.005 Btu/(</w:t>
      </w:r>
      <w:proofErr w:type="spellStart"/>
      <w:r>
        <w:t>hr</w:t>
      </w:r>
      <w:proofErr w:type="spellEnd"/>
      <w:r>
        <w:t>·°F) per bracket. Complete assembly boundary analysis including thermal flanking elimination. Independent third-party certification per ISO 10211. Project-specific.</w:t>
      </w:r>
    </w:p>
    <w:p w14:paraId="7B0D7EDB" w14:textId="77777777" w:rsidR="00AC7678" w:rsidRDefault="00A17404">
      <w:pPr>
        <w:spacing w:after="60"/>
        <w:ind w:left="720" w:hanging="260"/>
      </w:pPr>
      <w:r>
        <w:rPr>
          <w:b/>
          <w:bCs/>
        </w:rPr>
        <w:t xml:space="preserve">•  Ask: </w:t>
      </w:r>
      <w:r>
        <w:t>“Provide the complete assembly thermal certification — not just material Psi values. Does the report include all brackets, fasteners, flanking paths, and surrounding construction within a 12-inch boundary? Is it certified by an independent consultant with a PE stamp?”</w:t>
      </w:r>
    </w:p>
    <w:p w14:paraId="4FC8A40C" w14:textId="77777777" w:rsidR="00AC7678" w:rsidRDefault="00A17404">
      <w:pPr>
        <w:spacing w:after="60"/>
        <w:ind w:left="720" w:hanging="260"/>
      </w:pPr>
      <w:r>
        <w:rPr>
          <w:b/>
          <w:bCs/>
        </w:rPr>
        <w:t xml:space="preserve">•  Red Flags: </w:t>
      </w:r>
      <w:r>
        <w:t>Product modeled in isolation (without surrounding construction). No chi-value for brackets. No thermal flanking analysis. Manufacturer-performed modeling (not independent). Generic report not specific to this project’s CI depth, framing type, and bracket spacing.</w:t>
      </w:r>
    </w:p>
    <w:p w14:paraId="5F4A5060" w14:textId="77777777" w:rsidR="00AC7678" w:rsidRDefault="00A17404">
      <w:pPr>
        <w:spacing w:after="60"/>
        <w:ind w:left="720" w:hanging="260"/>
      </w:pPr>
      <w:r>
        <w:rPr>
          <w:b/>
          <w:bCs/>
        </w:rPr>
        <w:t xml:space="preserve">•  If This Fails: </w:t>
      </w:r>
      <w:r>
        <w:t>Material-level Psi values can look acceptable while the installed assembly performs far worse due to bracket thermal bridges, flanking through backup framing, and convective bypass through unfilled cavities. Without whole-assembly certification, the actual thermal performance is unknown.</w:t>
      </w:r>
    </w:p>
    <w:p w14:paraId="40FA61EB" w14:textId="77777777" w:rsidR="00AC7678" w:rsidRDefault="00AC7678">
      <w:pPr>
        <w:pBdr>
          <w:bottom w:val="single" w:sz="4" w:space="1" w:color="CCCCCC"/>
        </w:pBdr>
        <w:spacing w:before="160" w:after="160"/>
      </w:pPr>
    </w:p>
    <w:p w14:paraId="608B558D" w14:textId="77777777" w:rsidR="00AC7678" w:rsidRDefault="00A17404">
      <w:pPr>
        <w:pBdr>
          <w:bottom w:val="single" w:sz="8" w:space="6" w:color="00447C"/>
        </w:pBdr>
        <w:spacing w:before="200" w:after="200"/>
        <w:jc w:val="center"/>
      </w:pPr>
      <w:r>
        <w:rPr>
          <w:b/>
          <w:bCs/>
          <w:color w:val="00447C"/>
          <w:sz w:val="32"/>
          <w:szCs w:val="32"/>
        </w:rPr>
        <w:t>STEP 2: ASSESS DOWNSTREAM IMPACTS — WHAT CHANGES IN YOUR BUILDING?</w:t>
      </w:r>
    </w:p>
    <w:p w14:paraId="5C5DF29D" w14:textId="77777777" w:rsidR="00AC7678" w:rsidRDefault="00A17404">
      <w:pPr>
        <w:spacing w:before="80" w:after="80"/>
      </w:pPr>
      <w:r>
        <w:t>The substitution is proposed after the energy model has been submitted, the HVAC system has been sized, and the mechanical contractor has bid. Accepting a lower-performing product doesn’t just change one line item — it potentially invalidates every downstream system designed around the original performance.</w:t>
      </w:r>
    </w:p>
    <w:p w14:paraId="1B315C8F" w14:textId="77777777" w:rsidR="00AC7678" w:rsidRDefault="00A17404">
      <w:pPr>
        <w:spacing w:before="60" w:after="80"/>
      </w:pPr>
      <w:r>
        <w:rPr>
          <w:i/>
          <w:iCs/>
          <w:color w:val="666666"/>
        </w:rPr>
        <w:t>Before accepting any substitution, require documented answers to these questions:</w:t>
      </w:r>
    </w:p>
    <w:p w14:paraId="4FB8A686" w14:textId="77777777" w:rsidR="00AC7678" w:rsidRDefault="00A17404">
      <w:pPr>
        <w:spacing w:after="80"/>
        <w:ind w:left="720" w:hanging="360"/>
      </w:pPr>
      <w:r>
        <w:rPr>
          <w:b/>
          <w:bCs/>
        </w:rPr>
        <w:t>1.</w:t>
      </w:r>
      <w:r>
        <w:tab/>
      </w:r>
      <w:r>
        <w:rPr>
          <w:b/>
          <w:bCs/>
        </w:rPr>
        <w:t xml:space="preserve">Energy Code Compliance: </w:t>
      </w:r>
      <w:r>
        <w:t>Has the energy model been re-run with the proposed product’s actual Psi values? Does the building still comply with ASHRAE 90.1 / IECC? If not, what upgrades are needed elsewhere to compensate, and who pays for them?</w:t>
      </w:r>
    </w:p>
    <w:p w14:paraId="79D954F1" w14:textId="77777777" w:rsidR="00AC7678" w:rsidRDefault="00A17404">
      <w:pPr>
        <w:spacing w:after="80"/>
        <w:ind w:left="720" w:hanging="360"/>
      </w:pPr>
      <w:r>
        <w:rPr>
          <w:b/>
          <w:bCs/>
        </w:rPr>
        <w:t>2.</w:t>
      </w:r>
      <w:r>
        <w:tab/>
      </w:r>
      <w:r>
        <w:rPr>
          <w:b/>
          <w:bCs/>
        </w:rPr>
        <w:t xml:space="preserve">HVAC System Adequacy: </w:t>
      </w:r>
      <w:r>
        <w:t>Have the mechanical load calculations been updated? Is the specified HVAC equipment still adequately sized for the increased thermal loads? If the equipment is now undersized, who pays for the redesign, equipment upgrade, and any schedule delay?</w:t>
      </w:r>
    </w:p>
    <w:p w14:paraId="219CA1D5" w14:textId="77777777" w:rsidR="00AC7678" w:rsidRDefault="00A17404">
      <w:pPr>
        <w:spacing w:after="80"/>
        <w:ind w:left="720" w:hanging="360"/>
      </w:pPr>
      <w:r>
        <w:rPr>
          <w:b/>
          <w:bCs/>
        </w:rPr>
        <w:t>3.</w:t>
      </w:r>
      <w:r>
        <w:tab/>
      </w:r>
      <w:r>
        <w:rPr>
          <w:b/>
          <w:bCs/>
        </w:rPr>
        <w:t xml:space="preserve">HVAC Equipment Lifespan: </w:t>
      </w:r>
      <w:r>
        <w:t>Even if existing equipment can handle the higher load, running at or above design capacity shortens service life. Who assumes liability for early equipment replacement — potentially 12–15 years instead of 20?</w:t>
      </w:r>
    </w:p>
    <w:p w14:paraId="10F91AA9" w14:textId="77777777" w:rsidR="00AC7678" w:rsidRDefault="00A17404">
      <w:pPr>
        <w:spacing w:after="80"/>
        <w:ind w:left="720" w:hanging="360"/>
      </w:pPr>
      <w:r>
        <w:rPr>
          <w:b/>
          <w:bCs/>
        </w:rPr>
        <w:t>4.</w:t>
      </w:r>
      <w:r>
        <w:tab/>
      </w:r>
      <w:r>
        <w:rPr>
          <w:b/>
          <w:bCs/>
        </w:rPr>
        <w:t xml:space="preserve">Lifecycle Operating Costs: </w:t>
      </w:r>
      <w:r>
        <w:t xml:space="preserve">The specified system was projected to save over $30,000/year </w:t>
      </w:r>
      <w:proofErr w:type="gramStart"/>
      <w:r>
        <w:t>in</w:t>
      </w:r>
      <w:proofErr w:type="gramEnd"/>
      <w:r>
        <w:t xml:space="preserve"> energy costs on a typical project. If the substitution degrades that performance, who absorbs the increased operating costs over the building’s lifetime? Over 20 years, the difference can exceed $1,000,000.</w:t>
      </w:r>
    </w:p>
    <w:p w14:paraId="3F80744D" w14:textId="77777777" w:rsidR="00AC7678" w:rsidRDefault="00A17404">
      <w:pPr>
        <w:spacing w:after="80"/>
        <w:ind w:left="720" w:hanging="360"/>
      </w:pPr>
      <w:r>
        <w:rPr>
          <w:b/>
          <w:bCs/>
        </w:rPr>
        <w:t>5.</w:t>
      </w:r>
      <w:r>
        <w:tab/>
      </w:r>
      <w:r>
        <w:rPr>
          <w:b/>
          <w:bCs/>
        </w:rPr>
        <w:t xml:space="preserve">Condensation and Moisture Risk: </w:t>
      </w:r>
      <w:r>
        <w:t>Degraded thermal performance at window perimeters increases condensation risk at interior surfaces. Who assumes liability for mold, material damage, or occupant health complaints resulting from increased thermal bridging?</w:t>
      </w:r>
    </w:p>
    <w:p w14:paraId="3DFA7C93" w14:textId="77777777" w:rsidR="00AC7678" w:rsidRDefault="00A17404">
      <w:pPr>
        <w:spacing w:after="80"/>
        <w:ind w:left="720" w:hanging="360"/>
      </w:pPr>
      <w:r>
        <w:rPr>
          <w:b/>
          <w:bCs/>
        </w:rPr>
        <w:t>6.</w:t>
      </w:r>
      <w:r>
        <w:tab/>
      </w:r>
      <w:r>
        <w:rPr>
          <w:b/>
          <w:bCs/>
        </w:rPr>
        <w:t xml:space="preserve">Project Schedule: </w:t>
      </w:r>
      <w:r>
        <w:t>Re-running the energy model, updating mechanical calculations, and re-bidding affected contracts takes 4–8 weeks. Who absorbs the schedule delay and associated carry costs?</w:t>
      </w:r>
    </w:p>
    <w:p w14:paraId="4D89DBA2" w14:textId="77777777" w:rsidR="00AC7678" w:rsidRDefault="00A17404">
      <w:pPr>
        <w:spacing w:before="100" w:after="160"/>
        <w:ind w:left="720"/>
      </w:pPr>
      <w:r>
        <w:rPr>
          <w:i/>
          <w:iCs/>
          <w:color w:val="666666"/>
        </w:rPr>
        <w:t>Key Insight: The cost of proving a substitution works — re-running the energy model, re-checking HVAC sizing, re-bidding mechanical — almost always exceeds whatever the GC hoped to save by switching products.</w:t>
      </w:r>
    </w:p>
    <w:p w14:paraId="3CBBB396" w14:textId="77777777" w:rsidR="00AC7678" w:rsidRDefault="00AC7678">
      <w:pPr>
        <w:pBdr>
          <w:bottom w:val="single" w:sz="4" w:space="1" w:color="CCCCCC"/>
        </w:pBdr>
        <w:spacing w:before="160" w:after="160"/>
      </w:pPr>
    </w:p>
    <w:p w14:paraId="07E56440" w14:textId="77777777" w:rsidR="00AC7678" w:rsidRDefault="00A17404">
      <w:pPr>
        <w:pBdr>
          <w:bottom w:val="single" w:sz="8" w:space="6" w:color="00447C"/>
        </w:pBdr>
        <w:spacing w:before="200" w:after="200"/>
        <w:jc w:val="center"/>
      </w:pPr>
      <w:r>
        <w:rPr>
          <w:b/>
          <w:bCs/>
          <w:color w:val="00447C"/>
          <w:sz w:val="32"/>
          <w:szCs w:val="32"/>
        </w:rPr>
        <w:t>STEP 3: DOCUMENT YOUR EVALUATION — SUBSTITUTION CHECKLIST</w:t>
      </w:r>
    </w:p>
    <w:p w14:paraId="0643AE2A" w14:textId="77777777" w:rsidR="00AC7678" w:rsidRDefault="00A17404">
      <w:pPr>
        <w:spacing w:before="80" w:after="100"/>
      </w:pPr>
      <w:r>
        <w:t xml:space="preserve">Use this checklist to evaluate any proposed substitution. File a completed copy </w:t>
      </w:r>
      <w:proofErr w:type="gramStart"/>
      <w:r>
        <w:t>in</w:t>
      </w:r>
      <w:proofErr w:type="gramEnd"/>
      <w:r>
        <w:t xml:space="preserve"> the project record for each substitution request received.</w:t>
      </w:r>
    </w:p>
    <w:p w14:paraId="6D7D3C99" w14:textId="77777777" w:rsidR="00AC7678" w:rsidRDefault="00A17404">
      <w:pPr>
        <w:spacing w:after="120"/>
      </w:pPr>
      <w:proofErr w:type="gramStart"/>
      <w:r>
        <w:rPr>
          <w:b/>
          <w:bCs/>
        </w:rPr>
        <w:lastRenderedPageBreak/>
        <w:t>Project: _</w:t>
      </w:r>
      <w:proofErr w:type="gramEnd"/>
      <w:r>
        <w:rPr>
          <w:b/>
          <w:bCs/>
        </w:rPr>
        <w:t>______________________</w:t>
      </w:r>
      <w:proofErr w:type="gramStart"/>
      <w:r>
        <w:rPr>
          <w:b/>
          <w:bCs/>
        </w:rPr>
        <w:t>_  Proposed</w:t>
      </w:r>
      <w:proofErr w:type="gramEnd"/>
      <w:r>
        <w:rPr>
          <w:b/>
          <w:bCs/>
        </w:rPr>
        <w:t xml:space="preserve"> Product: _______________________</w:t>
      </w:r>
      <w:proofErr w:type="gramStart"/>
      <w:r>
        <w:rPr>
          <w:b/>
          <w:bCs/>
        </w:rPr>
        <w:t>_  Date</w:t>
      </w:r>
      <w:proofErr w:type="gramEnd"/>
      <w:r>
        <w:rPr>
          <w:b/>
          <w:bCs/>
        </w:rPr>
        <w:t>: ____________</w:t>
      </w:r>
    </w:p>
    <w:p w14:paraId="788AB463" w14:textId="77777777" w:rsidR="00AC7678" w:rsidRDefault="00A17404">
      <w:pPr>
        <w:spacing w:before="140" w:after="60"/>
      </w:pPr>
      <w:r>
        <w:rPr>
          <w:b/>
          <w:bCs/>
          <w:color w:val="00447C"/>
          <w:sz w:val="20"/>
          <w:szCs w:val="20"/>
        </w:rPr>
        <w:t>PERFORMANCE REQUIREMENT 1: THERMAL PERFORMANCE</w:t>
      </w:r>
    </w:p>
    <w:p w14:paraId="7C372F13" w14:textId="77777777" w:rsidR="00AC7678" w:rsidRDefault="00A17404">
      <w:pPr>
        <w:spacing w:after="50"/>
        <w:ind w:left="720" w:hanging="360"/>
      </w:pPr>
      <w:proofErr w:type="gramStart"/>
      <w:r>
        <w:t>☐  Third</w:t>
      </w:r>
      <w:proofErr w:type="gramEnd"/>
      <w:r>
        <w:t>-party Psi values provided (not R-values)</w:t>
      </w:r>
    </w:p>
    <w:p w14:paraId="6C15E881" w14:textId="77777777" w:rsidR="00AC7678" w:rsidRDefault="00A17404">
      <w:pPr>
        <w:spacing w:after="50"/>
        <w:ind w:left="720" w:hanging="360"/>
      </w:pPr>
      <w:proofErr w:type="gramStart"/>
      <w:r>
        <w:t>☐  Psi</w:t>
      </w:r>
      <w:proofErr w:type="gramEnd"/>
      <w:r>
        <w:t xml:space="preserve"> ≤ 0.025 Btu/(</w:t>
      </w:r>
      <w:proofErr w:type="spellStart"/>
      <w:r>
        <w:t>hr·ft</w:t>
      </w:r>
      <w:proofErr w:type="spellEnd"/>
      <w:r>
        <w:t>·°F) [0.043 W/(</w:t>
      </w:r>
      <w:proofErr w:type="spellStart"/>
      <w:r>
        <w:t>m·K</w:t>
      </w:r>
      <w:proofErr w:type="spellEnd"/>
      <w:r>
        <w:t>)] at sill, head, AND jamb</w:t>
      </w:r>
    </w:p>
    <w:p w14:paraId="1F859FC4" w14:textId="77777777" w:rsidR="00AC7678" w:rsidRDefault="00A17404">
      <w:pPr>
        <w:spacing w:after="50"/>
        <w:ind w:left="720" w:hanging="360"/>
      </w:pPr>
      <w:proofErr w:type="gramStart"/>
      <w:r>
        <w:t>☐  Wall</w:t>
      </w:r>
      <w:proofErr w:type="gramEnd"/>
      <w:r>
        <w:t xml:space="preserve"> assembly context disclosed (backup framing, CI depth, fenestration type)</w:t>
      </w:r>
    </w:p>
    <w:p w14:paraId="644EE244" w14:textId="77777777" w:rsidR="00AC7678" w:rsidRDefault="00A17404">
      <w:pPr>
        <w:spacing w:after="50"/>
        <w:ind w:left="720" w:hanging="360"/>
      </w:pPr>
      <w:proofErr w:type="gramStart"/>
      <w:r>
        <w:t>☐  Testing</w:t>
      </w:r>
      <w:proofErr w:type="gramEnd"/>
      <w:r>
        <w:t xml:space="preserve"> per ISO 10211 methodology</w:t>
      </w:r>
    </w:p>
    <w:p w14:paraId="414B3028" w14:textId="77777777" w:rsidR="00AC7678" w:rsidRDefault="00A17404">
      <w:pPr>
        <w:spacing w:after="50"/>
        <w:ind w:left="720" w:hanging="360"/>
      </w:pPr>
      <w:proofErr w:type="gramStart"/>
      <w:r>
        <w:t>☐  Documentation</w:t>
      </w:r>
      <w:proofErr w:type="gramEnd"/>
      <w:r>
        <w:t xml:space="preserve"> from independent testing organization attached</w:t>
      </w:r>
    </w:p>
    <w:p w14:paraId="7C83461E" w14:textId="77777777" w:rsidR="00AC7678" w:rsidRDefault="00A17404">
      <w:pPr>
        <w:spacing w:before="140" w:after="60"/>
      </w:pPr>
      <w:r>
        <w:rPr>
          <w:b/>
          <w:bCs/>
          <w:color w:val="00447C"/>
          <w:sz w:val="20"/>
          <w:szCs w:val="20"/>
        </w:rPr>
        <w:t>PERFORMANCE REQUIREMENT 2: THERMAL PLANE ALIGNMENT</w:t>
      </w:r>
    </w:p>
    <w:p w14:paraId="5325FA10" w14:textId="77777777" w:rsidR="00AC7678" w:rsidRDefault="00A17404">
      <w:pPr>
        <w:spacing w:after="50"/>
        <w:ind w:left="720" w:hanging="360"/>
      </w:pPr>
      <w:proofErr w:type="gramStart"/>
      <w:r>
        <w:t>☐  Section</w:t>
      </w:r>
      <w:proofErr w:type="gramEnd"/>
      <w:r>
        <w:t xml:space="preserve"> detail provided showing glazing alignment with CI plane (dimension annotated)</w:t>
      </w:r>
    </w:p>
    <w:p w14:paraId="72F719BE" w14:textId="77777777" w:rsidR="00AC7678" w:rsidRDefault="00A17404">
      <w:pPr>
        <w:spacing w:after="50"/>
        <w:ind w:left="720" w:hanging="360"/>
      </w:pPr>
      <w:proofErr w:type="gramStart"/>
      <w:r>
        <w:t>☐  Outermost</w:t>
      </w:r>
      <w:proofErr w:type="gramEnd"/>
      <w:r>
        <w:t xml:space="preserve"> glazing flush with or recessed up to 1” inboard of CI plane (not outboard)</w:t>
      </w:r>
    </w:p>
    <w:p w14:paraId="0CA37760" w14:textId="77777777" w:rsidR="00AC7678" w:rsidRDefault="00A17404">
      <w:pPr>
        <w:spacing w:after="50"/>
        <w:ind w:left="720" w:hanging="360"/>
      </w:pPr>
      <w:proofErr w:type="gramStart"/>
      <w:r>
        <w:t>☐  Thermal</w:t>
      </w:r>
      <w:proofErr w:type="gramEnd"/>
      <w:r>
        <w:t xml:space="preserve"> flanking eliminated at all perimeter conditions</w:t>
      </w:r>
    </w:p>
    <w:p w14:paraId="76276055" w14:textId="77777777" w:rsidR="00AC7678" w:rsidRDefault="00A17404">
      <w:pPr>
        <w:spacing w:before="140" w:after="60"/>
      </w:pPr>
      <w:r>
        <w:rPr>
          <w:b/>
          <w:bCs/>
          <w:color w:val="00447C"/>
          <w:sz w:val="20"/>
          <w:szCs w:val="20"/>
        </w:rPr>
        <w:t>PERFORMANCE REQUIREMENT 3: STRUCTURAL PERFORMANCE</w:t>
      </w:r>
    </w:p>
    <w:p w14:paraId="5FA7A180" w14:textId="77777777" w:rsidR="00AC7678" w:rsidRDefault="00A17404">
      <w:pPr>
        <w:spacing w:after="50"/>
        <w:ind w:left="720" w:hanging="360"/>
      </w:pPr>
      <w:proofErr w:type="gramStart"/>
      <w:r>
        <w:t>☐  PE</w:t>
      </w:r>
      <w:proofErr w:type="gramEnd"/>
      <w:r>
        <w:t>-stamped calculations for project-specific loading</w:t>
      </w:r>
    </w:p>
    <w:p w14:paraId="3CEB98D2" w14:textId="77777777" w:rsidR="00AC7678" w:rsidRDefault="00A17404">
      <w:pPr>
        <w:spacing w:after="50"/>
        <w:ind w:left="720" w:hanging="360"/>
      </w:pPr>
      <w:proofErr w:type="gramStart"/>
      <w:r>
        <w:t>☐  Eccentric</w:t>
      </w:r>
      <w:proofErr w:type="gramEnd"/>
      <w:r>
        <w:t xml:space="preserve"> cantilever loading analysis included</w:t>
      </w:r>
    </w:p>
    <w:p w14:paraId="35528AA7" w14:textId="77777777" w:rsidR="00AC7678" w:rsidRDefault="00A17404">
      <w:pPr>
        <w:spacing w:after="50"/>
        <w:ind w:left="720" w:hanging="360"/>
      </w:pPr>
      <w:proofErr w:type="gramStart"/>
      <w:r>
        <w:t>☐  Anisotropic</w:t>
      </w:r>
      <w:proofErr w:type="gramEnd"/>
      <w:r>
        <w:t xml:space="preserve"> material properties accounted for (BOTH lengthwise AND crosswise)</w:t>
      </w:r>
    </w:p>
    <w:p w14:paraId="3A9E04C1" w14:textId="77777777" w:rsidR="00AC7678" w:rsidRDefault="00A17404">
      <w:pPr>
        <w:spacing w:after="50"/>
        <w:ind w:left="720" w:hanging="360"/>
      </w:pPr>
      <w:proofErr w:type="gramStart"/>
      <w:r>
        <w:t>☐  All</w:t>
      </w:r>
      <w:proofErr w:type="gramEnd"/>
      <w:r>
        <w:t xml:space="preserve"> fasteners terminate in metal backers or bolted connections (not composite/FRP/wood)</w:t>
      </w:r>
    </w:p>
    <w:p w14:paraId="5B294304" w14:textId="77777777" w:rsidR="00AC7678" w:rsidRDefault="00A17404">
      <w:pPr>
        <w:spacing w:before="140" w:after="60"/>
      </w:pPr>
      <w:r>
        <w:rPr>
          <w:b/>
          <w:bCs/>
          <w:color w:val="00447C"/>
          <w:sz w:val="20"/>
          <w:szCs w:val="20"/>
        </w:rPr>
        <w:t>PERFORMANCE REQUIREMENT 4: AIR/WATER RESISTANCE</w:t>
      </w:r>
    </w:p>
    <w:p w14:paraId="58FCE7AA" w14:textId="77777777" w:rsidR="00AC7678" w:rsidRDefault="00A17404">
      <w:pPr>
        <w:spacing w:after="50"/>
        <w:ind w:left="720" w:hanging="360"/>
      </w:pPr>
      <w:proofErr w:type="gramStart"/>
      <w:r>
        <w:t>☐  Air</w:t>
      </w:r>
      <w:proofErr w:type="gramEnd"/>
      <w:r>
        <w:t xml:space="preserve"> infiltration test report at 50 </w:t>
      </w:r>
      <w:proofErr w:type="spellStart"/>
      <w:r>
        <w:t>psf</w:t>
      </w:r>
      <w:proofErr w:type="spellEnd"/>
      <w:r>
        <w:t xml:space="preserve"> per ASTM E2357</w:t>
      </w:r>
    </w:p>
    <w:p w14:paraId="79503E38" w14:textId="77777777" w:rsidR="00AC7678" w:rsidRDefault="00A17404">
      <w:pPr>
        <w:spacing w:after="50"/>
        <w:ind w:left="720" w:hanging="360"/>
      </w:pPr>
      <w:proofErr w:type="gramStart"/>
      <w:r>
        <w:t>☐  Water</w:t>
      </w:r>
      <w:proofErr w:type="gramEnd"/>
      <w:r>
        <w:t xml:space="preserve"> penetration test report at 50 </w:t>
      </w:r>
      <w:proofErr w:type="spellStart"/>
      <w:r>
        <w:t>psf</w:t>
      </w:r>
      <w:proofErr w:type="spellEnd"/>
      <w:r>
        <w:t xml:space="preserve"> per ASTM E331</w:t>
      </w:r>
    </w:p>
    <w:p w14:paraId="166FE5E7" w14:textId="77777777" w:rsidR="00AC7678" w:rsidRDefault="00A17404">
      <w:pPr>
        <w:spacing w:after="50"/>
        <w:ind w:left="720" w:hanging="360"/>
      </w:pPr>
      <w:proofErr w:type="gramStart"/>
      <w:r>
        <w:t>☐  Test</w:t>
      </w:r>
      <w:proofErr w:type="gramEnd"/>
      <w:r>
        <w:t xml:space="preserve"> pressure is NOT lower than specified (not 12, 20, or 25 </w:t>
      </w:r>
      <w:proofErr w:type="spellStart"/>
      <w:r>
        <w:t>psf</w:t>
      </w:r>
      <w:proofErr w:type="spellEnd"/>
      <w:r>
        <w:t>)</w:t>
      </w:r>
    </w:p>
    <w:p w14:paraId="5DD3969F" w14:textId="77777777" w:rsidR="00AC7678" w:rsidRDefault="00A17404">
      <w:pPr>
        <w:spacing w:after="50"/>
        <w:ind w:left="720" w:hanging="360"/>
      </w:pPr>
      <w:proofErr w:type="gramStart"/>
      <w:r>
        <w:t>☐  Framing</w:t>
      </w:r>
      <w:proofErr w:type="gramEnd"/>
      <w:r>
        <w:t xml:space="preserve"> material is non-porous and non-absorptive (ASTM D570 data)</w:t>
      </w:r>
    </w:p>
    <w:p w14:paraId="19464B73" w14:textId="77777777" w:rsidR="00AC7678" w:rsidRDefault="00A17404">
      <w:pPr>
        <w:spacing w:after="50"/>
        <w:ind w:left="720" w:hanging="360"/>
      </w:pPr>
      <w:proofErr w:type="gramStart"/>
      <w:r>
        <w:t>☐  Reports</w:t>
      </w:r>
      <w:proofErr w:type="gramEnd"/>
      <w:r>
        <w:t xml:space="preserve"> from independent, accredited third-party lab</w:t>
      </w:r>
    </w:p>
    <w:p w14:paraId="38C92DA8" w14:textId="77777777" w:rsidR="00AC7678" w:rsidRDefault="00A17404">
      <w:pPr>
        <w:spacing w:before="140" w:after="60"/>
      </w:pPr>
      <w:r>
        <w:rPr>
          <w:b/>
          <w:bCs/>
          <w:color w:val="00447C"/>
          <w:sz w:val="20"/>
          <w:szCs w:val="20"/>
        </w:rPr>
        <w:t>PERFORMANCE REQUIREMENT 5: FIRE SAFETY</w:t>
      </w:r>
    </w:p>
    <w:p w14:paraId="18E94653" w14:textId="77777777" w:rsidR="00AC7678" w:rsidRDefault="00A17404">
      <w:pPr>
        <w:spacing w:after="50"/>
        <w:ind w:left="720" w:hanging="360"/>
      </w:pPr>
      <w:proofErr w:type="gramStart"/>
      <w:r>
        <w:t>☐  Dead</w:t>
      </w:r>
      <w:proofErr w:type="gramEnd"/>
      <w:r>
        <w:t xml:space="preserve"> load support members are non-combustible per IBC Section 202</w:t>
      </w:r>
    </w:p>
    <w:p w14:paraId="483B8BC9" w14:textId="77777777" w:rsidR="00AC7678" w:rsidRDefault="00A17404">
      <w:pPr>
        <w:spacing w:after="50"/>
        <w:ind w:left="720" w:hanging="360"/>
      </w:pPr>
      <w:proofErr w:type="gramStart"/>
      <w:r>
        <w:t>☐  ASTM</w:t>
      </w:r>
      <w:proofErr w:type="gramEnd"/>
      <w:r>
        <w:t xml:space="preserve"> E84 Class A (FSI ≤25, SDI ≤450)</w:t>
      </w:r>
    </w:p>
    <w:p w14:paraId="2F6E6940" w14:textId="77777777" w:rsidR="00AC7678" w:rsidRDefault="00A17404">
      <w:pPr>
        <w:spacing w:after="50"/>
        <w:ind w:left="720" w:hanging="360"/>
      </w:pPr>
      <w:proofErr w:type="gramStart"/>
      <w:r>
        <w:t>☐  NFPA</w:t>
      </w:r>
      <w:proofErr w:type="gramEnd"/>
      <w:r>
        <w:t xml:space="preserve"> 285 assembly test or letter of equivalency (where required)</w:t>
      </w:r>
    </w:p>
    <w:p w14:paraId="39C87DD0" w14:textId="77777777" w:rsidR="00AC7678" w:rsidRDefault="00A17404">
      <w:pPr>
        <w:spacing w:before="140" w:after="60"/>
      </w:pPr>
      <w:r>
        <w:rPr>
          <w:b/>
          <w:bCs/>
          <w:color w:val="00447C"/>
          <w:sz w:val="20"/>
          <w:szCs w:val="20"/>
        </w:rPr>
        <w:t>PERFORMANCE REQUIREMENT 6: SINGLE-SOURCE INTERFACE SYSTEM</w:t>
      </w:r>
    </w:p>
    <w:p w14:paraId="5B8F6BED" w14:textId="77777777" w:rsidR="00AC7678" w:rsidRDefault="00A17404">
      <w:pPr>
        <w:spacing w:after="50"/>
        <w:ind w:left="720" w:hanging="360"/>
      </w:pPr>
      <w:proofErr w:type="gramStart"/>
      <w:r>
        <w:t>☐  All</w:t>
      </w:r>
      <w:proofErr w:type="gramEnd"/>
      <w:r>
        <w:t xml:space="preserve"> components from same manufacturer</w:t>
      </w:r>
    </w:p>
    <w:p w14:paraId="282C5B5C" w14:textId="77777777" w:rsidR="00AC7678" w:rsidRDefault="00A17404">
      <w:pPr>
        <w:spacing w:after="50"/>
        <w:ind w:left="720" w:hanging="360"/>
      </w:pPr>
      <w:proofErr w:type="gramStart"/>
      <w:r>
        <w:t>☐  Single</w:t>
      </w:r>
      <w:proofErr w:type="gramEnd"/>
      <w:r>
        <w:t>-source warranty documentation provided</w:t>
      </w:r>
    </w:p>
    <w:p w14:paraId="48B9A05A" w14:textId="77777777" w:rsidR="00AC7678" w:rsidRDefault="00A17404">
      <w:pPr>
        <w:spacing w:after="50"/>
        <w:ind w:left="720" w:hanging="360"/>
      </w:pPr>
      <w:proofErr w:type="gramStart"/>
      <w:r>
        <w:t>☐  Interface</w:t>
      </w:r>
      <w:proofErr w:type="gramEnd"/>
      <w:r>
        <w:t xml:space="preserve"> components are factory-engineered (not field-fabricated)</w:t>
      </w:r>
    </w:p>
    <w:p w14:paraId="144984EC" w14:textId="77777777" w:rsidR="00AC7678" w:rsidRDefault="00A17404">
      <w:pPr>
        <w:spacing w:before="140" w:after="60"/>
      </w:pPr>
      <w:r>
        <w:rPr>
          <w:b/>
          <w:bCs/>
          <w:color w:val="00447C"/>
          <w:sz w:val="20"/>
          <w:szCs w:val="20"/>
        </w:rPr>
        <w:t>PERFORMANCE REQUIREMENT 7: CERTIFIED ASSEMBLY THERMAL PERFORMANCE</w:t>
      </w:r>
    </w:p>
    <w:p w14:paraId="637D1E9C" w14:textId="77777777" w:rsidR="00AC7678" w:rsidRDefault="00A17404">
      <w:pPr>
        <w:spacing w:after="50"/>
        <w:ind w:left="720" w:hanging="360"/>
      </w:pPr>
      <w:proofErr w:type="gramStart"/>
      <w:r>
        <w:t>☐  Complete</w:t>
      </w:r>
      <w:proofErr w:type="gramEnd"/>
      <w:r>
        <w:t xml:space="preserve"> assembly boundary defined (all framing, brackets, fasteners, flanges, insulation, flashing)</w:t>
      </w:r>
    </w:p>
    <w:p w14:paraId="520C2E72" w14:textId="77777777" w:rsidR="00AC7678" w:rsidRDefault="00A17404">
      <w:pPr>
        <w:spacing w:after="50"/>
        <w:ind w:left="720" w:hanging="360"/>
      </w:pPr>
      <w:proofErr w:type="gramStart"/>
      <w:r>
        <w:t>☐  Assembly</w:t>
      </w:r>
      <w:proofErr w:type="gramEnd"/>
      <w:r>
        <w:t xml:space="preserve"> Thermal Efficiency ≥ 93% (or alternative compliance: Psi + chi thresholds met)</w:t>
      </w:r>
    </w:p>
    <w:p w14:paraId="385EBB35" w14:textId="77777777" w:rsidR="00AC7678" w:rsidRDefault="00A17404">
      <w:pPr>
        <w:spacing w:after="50"/>
        <w:ind w:left="720" w:hanging="360"/>
      </w:pPr>
      <w:proofErr w:type="gramStart"/>
      <w:r>
        <w:t>☐  Chi</w:t>
      </w:r>
      <w:proofErr w:type="gramEnd"/>
      <w:r>
        <w:t>-value ≤ 0.005 Btu/(</w:t>
      </w:r>
      <w:proofErr w:type="spellStart"/>
      <w:r>
        <w:t>hr</w:t>
      </w:r>
      <w:proofErr w:type="spellEnd"/>
      <w:r>
        <w:t>·°F) per bracket/clip documented</w:t>
      </w:r>
    </w:p>
    <w:p w14:paraId="2540BA65" w14:textId="77777777" w:rsidR="00AC7678" w:rsidRDefault="00A17404">
      <w:pPr>
        <w:spacing w:after="50"/>
        <w:ind w:left="720" w:hanging="360"/>
      </w:pPr>
      <w:proofErr w:type="gramStart"/>
      <w:r>
        <w:t>☐  Thermal</w:t>
      </w:r>
      <w:proofErr w:type="gramEnd"/>
      <w:r>
        <w:t xml:space="preserve"> flanking paths identified and mitigated</w:t>
      </w:r>
    </w:p>
    <w:p w14:paraId="3F3B7BE0" w14:textId="77777777" w:rsidR="00AC7678" w:rsidRDefault="00A17404">
      <w:pPr>
        <w:spacing w:after="50"/>
        <w:ind w:left="720" w:hanging="360"/>
      </w:pPr>
      <w:proofErr w:type="gramStart"/>
      <w:r>
        <w:t>☐  Simulation</w:t>
      </w:r>
      <w:proofErr w:type="gramEnd"/>
      <w:r>
        <w:t xml:space="preserve"> boundary extends 12” beyond assembly in all directions</w:t>
      </w:r>
    </w:p>
    <w:p w14:paraId="680C0947" w14:textId="77777777" w:rsidR="00AC7678" w:rsidRDefault="00A17404">
      <w:pPr>
        <w:spacing w:after="50"/>
        <w:ind w:left="720" w:hanging="360"/>
      </w:pPr>
      <w:proofErr w:type="gramStart"/>
      <w:r>
        <w:t>☐  Backup</w:t>
      </w:r>
      <w:proofErr w:type="gramEnd"/>
      <w:r>
        <w:t xml:space="preserve"> wall framing included in simulation (product NOT modeled in isolation)</w:t>
      </w:r>
    </w:p>
    <w:p w14:paraId="30CCDEE2" w14:textId="77777777" w:rsidR="00AC7678" w:rsidRDefault="00A17404">
      <w:pPr>
        <w:spacing w:after="50"/>
        <w:ind w:left="720" w:hanging="360"/>
      </w:pPr>
      <w:proofErr w:type="gramStart"/>
      <w:r>
        <w:t>☐  Isothermal</w:t>
      </w:r>
      <w:proofErr w:type="gramEnd"/>
      <w:r>
        <w:t xml:space="preserve"> plots and/or thermal flux diagrams provided</w:t>
      </w:r>
    </w:p>
    <w:p w14:paraId="3E8F41C5" w14:textId="77777777" w:rsidR="00AC7678" w:rsidRDefault="00A17404">
      <w:pPr>
        <w:spacing w:after="50"/>
        <w:ind w:left="720" w:hanging="360"/>
      </w:pPr>
      <w:proofErr w:type="gramStart"/>
      <w:r>
        <w:t>☐  Independent</w:t>
      </w:r>
      <w:proofErr w:type="gramEnd"/>
      <w:r>
        <w:t xml:space="preserve"> third-party consultant (not manufacturer in-house)</w:t>
      </w:r>
    </w:p>
    <w:p w14:paraId="18DAE8DA" w14:textId="77777777" w:rsidR="00AC7678" w:rsidRDefault="00A17404">
      <w:pPr>
        <w:spacing w:after="50"/>
        <w:ind w:left="720" w:hanging="360"/>
      </w:pPr>
      <w:proofErr w:type="gramStart"/>
      <w:r>
        <w:t>☐  ISO</w:t>
      </w:r>
      <w:proofErr w:type="gramEnd"/>
      <w:r>
        <w:t xml:space="preserve"> 10211 compliance statement included</w:t>
      </w:r>
    </w:p>
    <w:p w14:paraId="2123B536" w14:textId="77777777" w:rsidR="00AC7678" w:rsidRDefault="00A17404">
      <w:pPr>
        <w:spacing w:after="50"/>
        <w:ind w:left="720" w:hanging="360"/>
      </w:pPr>
      <w:proofErr w:type="gramStart"/>
      <w:r>
        <w:t>☐  Consultant</w:t>
      </w:r>
      <w:proofErr w:type="gramEnd"/>
      <w:r>
        <w:t>/PE signature on report</w:t>
      </w:r>
    </w:p>
    <w:p w14:paraId="71EB8D10" w14:textId="77777777" w:rsidR="00AC7678" w:rsidRDefault="00A17404">
      <w:pPr>
        <w:spacing w:after="50"/>
        <w:ind w:left="720" w:hanging="360"/>
      </w:pPr>
      <w:proofErr w:type="gramStart"/>
      <w:r>
        <w:t>☐  Certification</w:t>
      </w:r>
      <w:proofErr w:type="gramEnd"/>
      <w:r>
        <w:t xml:space="preserve"> is project-specific (actual CI depth, framing type, bracket spacing)</w:t>
      </w:r>
    </w:p>
    <w:p w14:paraId="748FA4B5" w14:textId="77777777" w:rsidR="00AC7678" w:rsidRDefault="00A17404">
      <w:pPr>
        <w:spacing w:before="120" w:after="60"/>
      </w:pPr>
      <w:r>
        <w:rPr>
          <w:b/>
          <w:bCs/>
          <w:color w:val="00447C"/>
        </w:rPr>
        <w:t>DOWNSTREAM IMPACT VERIFICATION</w:t>
      </w:r>
    </w:p>
    <w:p w14:paraId="45AEA45F" w14:textId="77777777" w:rsidR="00AC7678" w:rsidRDefault="00A17404">
      <w:pPr>
        <w:spacing w:after="50"/>
        <w:ind w:left="720" w:hanging="360"/>
      </w:pPr>
      <w:proofErr w:type="gramStart"/>
      <w:r>
        <w:t>☐  Energy</w:t>
      </w:r>
      <w:proofErr w:type="gramEnd"/>
      <w:r>
        <w:t xml:space="preserve"> model re-run with proposed product’s actual Psi values</w:t>
      </w:r>
    </w:p>
    <w:p w14:paraId="57E4AAA6" w14:textId="77777777" w:rsidR="00AC7678" w:rsidRDefault="00A17404">
      <w:pPr>
        <w:spacing w:after="50"/>
        <w:ind w:left="720" w:hanging="360"/>
      </w:pPr>
      <w:proofErr w:type="gramStart"/>
      <w:r>
        <w:lastRenderedPageBreak/>
        <w:t>☐  Confirmed</w:t>
      </w:r>
      <w:proofErr w:type="gramEnd"/>
      <w:r>
        <w:t>: building still meets energy code requirements</w:t>
      </w:r>
    </w:p>
    <w:p w14:paraId="7A738FD9" w14:textId="77777777" w:rsidR="00AC7678" w:rsidRDefault="00A17404">
      <w:pPr>
        <w:spacing w:after="50"/>
        <w:ind w:left="720" w:hanging="360"/>
      </w:pPr>
      <w:proofErr w:type="gramStart"/>
      <w:r>
        <w:t>☐  Mechanical</w:t>
      </w:r>
      <w:proofErr w:type="gramEnd"/>
      <w:r>
        <w:t xml:space="preserve"> load calculations updated; HVAC equipment confirmed adequate</w:t>
      </w:r>
    </w:p>
    <w:p w14:paraId="3E62671A" w14:textId="77777777" w:rsidR="00AC7678" w:rsidRDefault="00A17404">
      <w:pPr>
        <w:spacing w:after="50"/>
        <w:ind w:left="720" w:hanging="360"/>
      </w:pPr>
      <w:proofErr w:type="gramStart"/>
      <w:r>
        <w:t>☐  Responsible</w:t>
      </w:r>
      <w:proofErr w:type="gramEnd"/>
      <w:r>
        <w:t xml:space="preserve"> party identified for any increased lifecycle operating costs</w:t>
      </w:r>
    </w:p>
    <w:p w14:paraId="601A203E" w14:textId="77777777" w:rsidR="00AC7678" w:rsidRDefault="00A17404">
      <w:pPr>
        <w:spacing w:before="100" w:after="160"/>
        <w:ind w:left="720"/>
      </w:pPr>
      <w:r>
        <w:rPr>
          <w:i/>
          <w:iCs/>
          <w:color w:val="666666"/>
        </w:rPr>
        <w:t>If ANY box is unchecked, the proposed substitution does not meet specification requirements.</w:t>
      </w:r>
    </w:p>
    <w:p w14:paraId="6553D585" w14:textId="77777777" w:rsidR="00AC7678" w:rsidRDefault="00AC7678">
      <w:pPr>
        <w:pBdr>
          <w:bottom w:val="single" w:sz="4" w:space="1" w:color="CCCCCC"/>
        </w:pBdr>
        <w:spacing w:before="160" w:after="160"/>
      </w:pPr>
    </w:p>
    <w:p w14:paraId="5C3337D7" w14:textId="77777777" w:rsidR="00AC7678" w:rsidRDefault="00A17404">
      <w:pPr>
        <w:spacing w:after="80"/>
      </w:pPr>
      <w:r>
        <w:rPr>
          <w:b/>
          <w:bCs/>
          <w:color w:val="00447C"/>
          <w:sz w:val="24"/>
          <w:szCs w:val="24"/>
        </w:rPr>
        <w:t>SAMPLE REJECTION LANGUAGE</w:t>
      </w:r>
    </w:p>
    <w:p w14:paraId="33F21BDB" w14:textId="77777777" w:rsidR="00AC7678" w:rsidRDefault="00A17404">
      <w:pPr>
        <w:spacing w:after="80"/>
      </w:pPr>
      <w:r>
        <w:rPr>
          <w:b/>
          <w:bCs/>
        </w:rPr>
        <w:t>General Rejection (Incomplete Documentation):</w:t>
      </w:r>
    </w:p>
    <w:p w14:paraId="6A2377D9" w14:textId="77777777" w:rsidR="00AC7678" w:rsidRDefault="00A17404">
      <w:pPr>
        <w:spacing w:before="60" w:after="80"/>
        <w:ind w:left="720"/>
      </w:pPr>
      <w:r>
        <w:rPr>
          <w:i/>
          <w:iCs/>
          <w:color w:val="666666"/>
        </w:rPr>
        <w:t xml:space="preserve">“The proposed substitution does not include documentation demonstrating compliance with all seven performance requirements specified in Section 1.05. Substitution rejected. Provide the specified product or a compliant alternative with complete documentation per the </w:t>
      </w:r>
      <w:proofErr w:type="gramStart"/>
      <w:r>
        <w:rPr>
          <w:i/>
          <w:iCs/>
          <w:color w:val="666666"/>
        </w:rPr>
        <w:t>specification.”</w:t>
      </w:r>
      <w:proofErr w:type="gramEnd"/>
    </w:p>
    <w:p w14:paraId="6DB9B11F" w14:textId="77777777" w:rsidR="00AC7678" w:rsidRDefault="00A17404">
      <w:pPr>
        <w:spacing w:after="80"/>
      </w:pPr>
      <w:r>
        <w:rPr>
          <w:b/>
          <w:bCs/>
        </w:rPr>
        <w:t>Partial Compliance:</w:t>
      </w:r>
    </w:p>
    <w:p w14:paraId="07CCE4AE" w14:textId="77777777" w:rsidR="00AC7678" w:rsidRDefault="00A17404">
      <w:pPr>
        <w:spacing w:before="60" w:after="80"/>
        <w:ind w:left="720"/>
      </w:pPr>
      <w:r>
        <w:rPr>
          <w:i/>
          <w:iCs/>
          <w:color w:val="666666"/>
        </w:rPr>
        <w:t>“The proposed product demonstrates compliance with X of seven requirements but does not meet [specific requirements]. The specification requires compliance with all seven interdependent performance criteria. Systems meeting only partial requirements shall not be considered acceptable substitutes.”</w:t>
      </w:r>
    </w:p>
    <w:p w14:paraId="5A6DA8C6" w14:textId="77777777" w:rsidR="00AC7678" w:rsidRDefault="00A17404">
      <w:pPr>
        <w:spacing w:after="80"/>
      </w:pPr>
      <w:r>
        <w:rPr>
          <w:b/>
          <w:bCs/>
        </w:rPr>
        <w:t>Inferior Thermal Performance:</w:t>
      </w:r>
    </w:p>
    <w:p w14:paraId="3BF08B4C" w14:textId="77777777" w:rsidR="00AC7678" w:rsidRDefault="00A17404">
      <w:pPr>
        <w:spacing w:before="60" w:after="80"/>
        <w:ind w:left="720"/>
      </w:pPr>
      <w:r>
        <w:rPr>
          <w:i/>
          <w:iCs/>
          <w:color w:val="666666"/>
        </w:rPr>
        <w:t>“The proposed product’s published Psi values [or: the proposed product has not provided third-party Psi values] do not demonstrate compliance with the ≤ 0.025 Btu/(</w:t>
      </w:r>
      <w:proofErr w:type="spellStart"/>
      <w:r>
        <w:rPr>
          <w:i/>
          <w:iCs/>
          <w:color w:val="666666"/>
        </w:rPr>
        <w:t>hr·ft</w:t>
      </w:r>
      <w:proofErr w:type="spellEnd"/>
      <w:r>
        <w:rPr>
          <w:i/>
          <w:iCs/>
          <w:color w:val="666666"/>
        </w:rPr>
        <w:t xml:space="preserve">·°F) threshold in the wall assembly context that will </w:t>
      </w:r>
      <w:proofErr w:type="gramStart"/>
      <w:r>
        <w:rPr>
          <w:i/>
          <w:iCs/>
          <w:color w:val="666666"/>
        </w:rPr>
        <w:t>actually be</w:t>
      </w:r>
      <w:proofErr w:type="gramEnd"/>
      <w:r>
        <w:rPr>
          <w:i/>
          <w:iCs/>
          <w:color w:val="666666"/>
        </w:rPr>
        <w:t xml:space="preserve"> built. Accepting this substitution would degrade the thermal performance on which the building’s energy model, HVAC sizing, and code compliance are based. Substitution rejected.”</w:t>
      </w:r>
    </w:p>
    <w:p w14:paraId="161CB482" w14:textId="77777777" w:rsidR="00AC7678" w:rsidRDefault="00A17404">
      <w:pPr>
        <w:spacing w:after="80"/>
      </w:pPr>
      <w:r>
        <w:rPr>
          <w:b/>
          <w:bCs/>
        </w:rPr>
        <w:t>Inadequate Test Pressure:</w:t>
      </w:r>
    </w:p>
    <w:p w14:paraId="6645A728" w14:textId="77777777" w:rsidR="00AC7678" w:rsidRDefault="00A17404">
      <w:pPr>
        <w:spacing w:before="60" w:after="80"/>
        <w:ind w:left="720"/>
      </w:pPr>
      <w:r>
        <w:rPr>
          <w:i/>
          <w:iCs/>
          <w:color w:val="666666"/>
        </w:rPr>
        <w:t xml:space="preserve">“The submitted test reports show air/water testing at [12/20] psf. The specification requires 50 </w:t>
      </w:r>
      <w:proofErr w:type="spellStart"/>
      <w:r>
        <w:rPr>
          <w:i/>
          <w:iCs/>
          <w:color w:val="666666"/>
        </w:rPr>
        <w:t>psf</w:t>
      </w:r>
      <w:proofErr w:type="spellEnd"/>
      <w:r>
        <w:rPr>
          <w:i/>
          <w:iCs/>
          <w:color w:val="666666"/>
        </w:rPr>
        <w:t xml:space="preserve"> per ASTM E2357 and ASTM E331. The basis-of-design product has been tested at 100 psf. Testing at lower pressures does not demonstrate equivalent performance. Substitution rejected.”</w:t>
      </w:r>
    </w:p>
    <w:p w14:paraId="192A91C2" w14:textId="77777777" w:rsidR="00AC7678" w:rsidRDefault="00A17404">
      <w:pPr>
        <w:spacing w:after="80"/>
      </w:pPr>
      <w:r>
        <w:rPr>
          <w:b/>
          <w:bCs/>
        </w:rPr>
        <w:t>Absorptive Material:</w:t>
      </w:r>
    </w:p>
    <w:p w14:paraId="11268C5B" w14:textId="77777777" w:rsidR="00AC7678" w:rsidRDefault="00A17404">
      <w:pPr>
        <w:spacing w:before="60" w:after="80"/>
        <w:ind w:left="720"/>
      </w:pPr>
      <w:r>
        <w:rPr>
          <w:i/>
          <w:iCs/>
          <w:color w:val="666666"/>
        </w:rPr>
        <w:t>“The proposed framing material does not meet the non-porous, non-absorptive requirement. Materials that absorb moisture, swell, or change dimension are not acceptable for fenestration perimeter framing per Section 1.05.D. Substitution rejected.”</w:t>
      </w:r>
    </w:p>
    <w:p w14:paraId="0EE34079" w14:textId="77777777" w:rsidR="00AC7678" w:rsidRDefault="00A17404">
      <w:pPr>
        <w:spacing w:after="80"/>
      </w:pPr>
      <w:r>
        <w:rPr>
          <w:b/>
          <w:bCs/>
        </w:rPr>
        <w:t>Incomplete Assembly Thermal Certification (PR7):</w:t>
      </w:r>
    </w:p>
    <w:p w14:paraId="3F2D2B63" w14:textId="77777777" w:rsidR="00AC7678" w:rsidRDefault="00A17404">
      <w:pPr>
        <w:spacing w:before="60" w:after="80"/>
        <w:ind w:left="720"/>
      </w:pPr>
      <w:r>
        <w:rPr>
          <w:i/>
          <w:iCs/>
          <w:color w:val="666666"/>
        </w:rPr>
        <w:t>“The proposed product has not provided a Certified Assembly Thermal Performance report per Performance Requirement 7. The submittal includes only material-level thermal data without complete assembly boundary analysis, thermal flanking assessment, chi-value documentation at brackets, or independent third-party certification. Material-level data alone does not demonstrate installed assembly performance. Substitution rejected.”</w:t>
      </w:r>
    </w:p>
    <w:p w14:paraId="42E64F1B" w14:textId="77777777" w:rsidR="00AC7678" w:rsidRDefault="00AC7678">
      <w:pPr>
        <w:pBdr>
          <w:bottom w:val="single" w:sz="4" w:space="1" w:color="CCCCCC"/>
        </w:pBdr>
        <w:spacing w:before="160" w:after="160"/>
      </w:pPr>
    </w:p>
    <w:p w14:paraId="187585FE" w14:textId="77777777" w:rsidR="00AC7678" w:rsidRDefault="00A17404">
      <w:pPr>
        <w:spacing w:after="80"/>
      </w:pPr>
      <w:r>
        <w:rPr>
          <w:b/>
          <w:bCs/>
          <w:color w:val="00447C"/>
          <w:sz w:val="24"/>
          <w:szCs w:val="24"/>
        </w:rPr>
        <w:t>A2P ENGINEERING SUPPORT</w:t>
      </w:r>
    </w:p>
    <w:p w14:paraId="6FA22A2D" w14:textId="77777777" w:rsidR="00AC7678" w:rsidRDefault="00A17404">
      <w:pPr>
        <w:spacing w:after="80"/>
      </w:pPr>
      <w:r>
        <w:t>You are not alone in evaluating substitution requests. Advanced Architectural Products (A2P) manufactures a portfolio of continuous insulation and building enclosure systems, including GreenGirt CMH™, GreenGirt Steel™, and SMARTci® systems. A2P engineering staff are available to:</w:t>
      </w:r>
    </w:p>
    <w:p w14:paraId="3B38F66F" w14:textId="77777777" w:rsidR="00AC7678" w:rsidRDefault="00A17404">
      <w:pPr>
        <w:spacing w:after="60"/>
        <w:ind w:left="720" w:hanging="260"/>
      </w:pPr>
      <w:r>
        <w:t>•  Review proposed substitution submittals with you and identify documentation gaps</w:t>
      </w:r>
    </w:p>
    <w:p w14:paraId="1352E45B" w14:textId="2B1B41F3" w:rsidR="00AC7678" w:rsidRDefault="00A17404">
      <w:pPr>
        <w:spacing w:after="60"/>
        <w:ind w:left="720" w:hanging="260"/>
      </w:pPr>
      <w:r>
        <w:t xml:space="preserve">•  Provide project-specific thermal comparison data using the GreenGirt XO </w:t>
      </w:r>
      <w:r w:rsidR="007A7126">
        <w:t>Building Energy</w:t>
      </w:r>
      <w:r>
        <w:t xml:space="preserve"> Calculator</w:t>
      </w:r>
    </w:p>
    <w:p w14:paraId="6E0F3D57" w14:textId="77777777" w:rsidR="00AC7678" w:rsidRDefault="00A17404">
      <w:pPr>
        <w:spacing w:after="60"/>
        <w:ind w:left="720" w:hanging="260"/>
      </w:pPr>
      <w:r>
        <w:t>•  Supply PE-stamped structural calculations for your project conditions</w:t>
      </w:r>
    </w:p>
    <w:p w14:paraId="59B11AFB" w14:textId="77777777" w:rsidR="00AC7678" w:rsidRDefault="00A17404">
      <w:pPr>
        <w:spacing w:after="60"/>
        <w:ind w:left="720" w:hanging="260"/>
      </w:pPr>
      <w:r>
        <w:t>•  Prepare a Design Rationale Memo for your project file documenting why these performance thresholds exist</w:t>
      </w:r>
    </w:p>
    <w:p w14:paraId="7A64EA12" w14:textId="77777777" w:rsidR="00AC7678" w:rsidRDefault="00A17404">
      <w:pPr>
        <w:spacing w:after="60"/>
        <w:ind w:left="720" w:hanging="260"/>
      </w:pPr>
      <w:r>
        <w:t>•  Present directly to building owners on the value proposition and lifecycle cost analysis</w:t>
      </w:r>
    </w:p>
    <w:p w14:paraId="0C749B0B" w14:textId="77777777" w:rsidR="00AC7678" w:rsidRDefault="00A17404">
      <w:pPr>
        <w:spacing w:before="120" w:after="40"/>
      </w:pPr>
      <w:r>
        <w:rPr>
          <w:b/>
          <w:bCs/>
          <w:color w:val="00447C"/>
        </w:rPr>
        <w:t>Advanced Architectural Products</w:t>
      </w:r>
    </w:p>
    <w:p w14:paraId="706CBB0D" w14:textId="77777777" w:rsidR="00AC7678" w:rsidRDefault="00A17404">
      <w:pPr>
        <w:spacing w:after="40"/>
      </w:pPr>
      <w:r>
        <w:t>959 Industrial Drive, Allegan, Michigan 49010</w:t>
      </w:r>
    </w:p>
    <w:p w14:paraId="1650DB8F" w14:textId="77777777" w:rsidR="00AC7678" w:rsidRDefault="00A17404">
      <w:pPr>
        <w:spacing w:after="40"/>
      </w:pPr>
      <w:r>
        <w:t>(269) 355-</w:t>
      </w:r>
      <w:proofErr w:type="gramStart"/>
      <w:r>
        <w:t>1818  •</w:t>
      </w:r>
      <w:proofErr w:type="gramEnd"/>
      <w:r>
        <w:t xml:space="preserve">  </w:t>
      </w:r>
      <w:proofErr w:type="gramStart"/>
      <w:r>
        <w:t>info@greengirt.com  •</w:t>
      </w:r>
      <w:proofErr w:type="gramEnd"/>
      <w:r>
        <w:t xml:space="preserve">  www.GreenGirt.com</w:t>
      </w:r>
    </w:p>
    <w:p w14:paraId="3703BDEA" w14:textId="5C815447" w:rsidR="00AC7678" w:rsidRDefault="00A17404">
      <w:pPr>
        <w:spacing w:before="60"/>
      </w:pPr>
      <w:r>
        <w:rPr>
          <w:i/>
          <w:iCs/>
          <w:color w:val="666666"/>
        </w:rPr>
        <w:t xml:space="preserve">GreenGirt XO </w:t>
      </w:r>
      <w:r w:rsidR="007A7126">
        <w:rPr>
          <w:i/>
          <w:iCs/>
          <w:color w:val="666666"/>
        </w:rPr>
        <w:t>Building Energy</w:t>
      </w:r>
      <w:r>
        <w:rPr>
          <w:i/>
          <w:iCs/>
          <w:color w:val="666666"/>
        </w:rPr>
        <w:t xml:space="preserve"> Calculator available at www.GreenGirt.com</w:t>
      </w:r>
    </w:p>
    <w:sectPr w:rsidR="00AC7678">
      <w:headerReference w:type="default" r:id="rId7"/>
      <w:footerReference w:type="default" r:id="rId8"/>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70629" w14:textId="77777777" w:rsidR="00C55249" w:rsidRDefault="00C55249">
      <w:r>
        <w:separator/>
      </w:r>
    </w:p>
  </w:endnote>
  <w:endnote w:type="continuationSeparator" w:id="0">
    <w:p w14:paraId="3815BCD1" w14:textId="77777777" w:rsidR="00C55249" w:rsidRDefault="00C55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BB4B2" w14:textId="77777777" w:rsidR="00AC7678" w:rsidRDefault="00A17404">
    <w:pPr>
      <w:pBdr>
        <w:top w:val="single" w:sz="1" w:space="4" w:color="CCCCCC"/>
      </w:pBdr>
      <w:spacing w:after="40"/>
      <w:jc w:val="center"/>
    </w:pPr>
    <w:r>
      <w:rPr>
        <w:color w:val="999999"/>
        <w:sz w:val="14"/>
        <w:szCs w:val="14"/>
      </w:rPr>
      <w:t>A2P-E-XO-GDE01-v3.4  •  2026-05-21  •  Advanced Architectural Products  •  (269) 355-1818  •  www.GreenGirt.com</w:t>
    </w:r>
  </w:p>
  <w:p w14:paraId="200FD839" w14:textId="77777777" w:rsidR="00AC7678" w:rsidRDefault="00A17404">
    <w:pPr>
      <w:jc w:val="center"/>
    </w:pPr>
    <w:r>
      <w:rPr>
        <w:b/>
        <w:bCs/>
        <w:color w:val="666666"/>
        <w:sz w:val="14"/>
        <w:szCs w:val="14"/>
      </w:rPr>
      <w:t xml:space="preserve">Page </w:t>
    </w:r>
    <w:r>
      <w:rPr>
        <w:b/>
        <w:bCs/>
        <w:color w:val="666666"/>
        <w:sz w:val="14"/>
        <w:szCs w:val="14"/>
      </w:rPr>
      <w:fldChar w:fldCharType="begin"/>
    </w:r>
    <w:r>
      <w:rPr>
        <w:b/>
        <w:bCs/>
        <w:color w:val="666666"/>
        <w:sz w:val="14"/>
        <w:szCs w:val="14"/>
      </w:rPr>
      <w:instrText>PAGE</w:instrText>
    </w:r>
    <w:r>
      <w:rPr>
        <w:b/>
        <w:bCs/>
        <w:color w:val="666666"/>
        <w:sz w:val="14"/>
        <w:szCs w:val="14"/>
      </w:rPr>
      <w:fldChar w:fldCharType="separate"/>
    </w:r>
    <w:r w:rsidR="00475791">
      <w:rPr>
        <w:b/>
        <w:bCs/>
        <w:noProof/>
        <w:color w:val="666666"/>
        <w:sz w:val="14"/>
        <w:szCs w:val="14"/>
      </w:rPr>
      <w:t>1</w:t>
    </w:r>
    <w:r>
      <w:rPr>
        <w:b/>
        <w:bCs/>
        <w:color w:val="666666"/>
        <w:sz w:val="14"/>
        <w:szCs w:val="14"/>
      </w:rPr>
      <w:fldChar w:fldCharType="end"/>
    </w:r>
    <w:r>
      <w:rPr>
        <w:b/>
        <w:bCs/>
        <w:color w:val="666666"/>
        <w:sz w:val="14"/>
        <w:szCs w:val="14"/>
      </w:rPr>
      <w:t xml:space="preserve"> of </w:t>
    </w:r>
    <w:r>
      <w:rPr>
        <w:b/>
        <w:bCs/>
        <w:color w:val="666666"/>
        <w:sz w:val="14"/>
        <w:szCs w:val="14"/>
      </w:rPr>
      <w:fldChar w:fldCharType="begin"/>
    </w:r>
    <w:r>
      <w:rPr>
        <w:b/>
        <w:bCs/>
        <w:color w:val="666666"/>
        <w:sz w:val="14"/>
        <w:szCs w:val="14"/>
      </w:rPr>
      <w:instrText>NUMPAGES</w:instrText>
    </w:r>
    <w:r>
      <w:rPr>
        <w:b/>
        <w:bCs/>
        <w:color w:val="666666"/>
        <w:sz w:val="14"/>
        <w:szCs w:val="14"/>
      </w:rPr>
      <w:fldChar w:fldCharType="separate"/>
    </w:r>
    <w:r w:rsidR="00475791">
      <w:rPr>
        <w:b/>
        <w:bCs/>
        <w:noProof/>
        <w:color w:val="666666"/>
        <w:sz w:val="14"/>
        <w:szCs w:val="14"/>
      </w:rPr>
      <w:t>2</w:t>
    </w:r>
    <w:r>
      <w:rPr>
        <w:b/>
        <w:bCs/>
        <w:color w:val="666666"/>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D9F19" w14:textId="77777777" w:rsidR="00C55249" w:rsidRDefault="00C55249">
      <w:r>
        <w:separator/>
      </w:r>
    </w:p>
  </w:footnote>
  <w:footnote w:type="continuationSeparator" w:id="0">
    <w:p w14:paraId="48D82577" w14:textId="77777777" w:rsidR="00C55249" w:rsidRDefault="00C55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F3C27" w14:textId="77777777" w:rsidR="00AC7678" w:rsidRDefault="00A17404">
    <w:pPr>
      <w:pBdr>
        <w:bottom w:val="single" w:sz="2" w:space="4" w:color="00447C"/>
      </w:pBdr>
    </w:pPr>
    <w:r>
      <w:rPr>
        <w:b/>
        <w:bCs/>
        <w:color w:val="00447C"/>
        <w:sz w:val="16"/>
        <w:szCs w:val="16"/>
      </w:rPr>
      <w:t>GREENGIRT XO</w:t>
    </w:r>
    <w:r>
      <w:rPr>
        <w:b/>
        <w:bCs/>
        <w:color w:val="00447C"/>
        <w:sz w:val="16"/>
        <w:szCs w:val="16"/>
      </w:rPr>
      <w:t>™  |  SPECIFICATION DEFENSE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477E1E"/>
    <w:multiLevelType w:val="hybridMultilevel"/>
    <w:tmpl w:val="4704C066"/>
    <w:lvl w:ilvl="0" w:tplc="AC4E9712">
      <w:start w:val="1"/>
      <w:numFmt w:val="bullet"/>
      <w:lvlText w:val="●"/>
      <w:lvlJc w:val="left"/>
      <w:pPr>
        <w:ind w:left="720" w:hanging="360"/>
      </w:pPr>
    </w:lvl>
    <w:lvl w:ilvl="1" w:tplc="30D274CC">
      <w:start w:val="1"/>
      <w:numFmt w:val="bullet"/>
      <w:lvlText w:val="○"/>
      <w:lvlJc w:val="left"/>
      <w:pPr>
        <w:ind w:left="1440" w:hanging="360"/>
      </w:pPr>
    </w:lvl>
    <w:lvl w:ilvl="2" w:tplc="134CCB88">
      <w:start w:val="1"/>
      <w:numFmt w:val="bullet"/>
      <w:lvlText w:val="■"/>
      <w:lvlJc w:val="left"/>
      <w:pPr>
        <w:ind w:left="2160" w:hanging="360"/>
      </w:pPr>
    </w:lvl>
    <w:lvl w:ilvl="3" w:tplc="AEBCF9E4">
      <w:start w:val="1"/>
      <w:numFmt w:val="bullet"/>
      <w:lvlText w:val="●"/>
      <w:lvlJc w:val="left"/>
      <w:pPr>
        <w:ind w:left="2880" w:hanging="360"/>
      </w:pPr>
    </w:lvl>
    <w:lvl w:ilvl="4" w:tplc="661E09DC">
      <w:start w:val="1"/>
      <w:numFmt w:val="bullet"/>
      <w:lvlText w:val="○"/>
      <w:lvlJc w:val="left"/>
      <w:pPr>
        <w:ind w:left="3600" w:hanging="360"/>
      </w:pPr>
    </w:lvl>
    <w:lvl w:ilvl="5" w:tplc="B9EC27FE">
      <w:start w:val="1"/>
      <w:numFmt w:val="bullet"/>
      <w:lvlText w:val="■"/>
      <w:lvlJc w:val="left"/>
      <w:pPr>
        <w:ind w:left="4320" w:hanging="360"/>
      </w:pPr>
    </w:lvl>
    <w:lvl w:ilvl="6" w:tplc="A648C524">
      <w:start w:val="1"/>
      <w:numFmt w:val="bullet"/>
      <w:lvlText w:val="●"/>
      <w:lvlJc w:val="left"/>
      <w:pPr>
        <w:ind w:left="5040" w:hanging="360"/>
      </w:pPr>
    </w:lvl>
    <w:lvl w:ilvl="7" w:tplc="6F2A2B72">
      <w:start w:val="1"/>
      <w:numFmt w:val="bullet"/>
      <w:lvlText w:val="●"/>
      <w:lvlJc w:val="left"/>
      <w:pPr>
        <w:ind w:left="5760" w:hanging="360"/>
      </w:pPr>
    </w:lvl>
    <w:lvl w:ilvl="8" w:tplc="3E849B54">
      <w:start w:val="1"/>
      <w:numFmt w:val="bullet"/>
      <w:lvlText w:val="●"/>
      <w:lvlJc w:val="left"/>
      <w:pPr>
        <w:ind w:left="6480" w:hanging="360"/>
      </w:pPr>
    </w:lvl>
  </w:abstractNum>
  <w:num w:numId="1" w16cid:durableId="130674159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678"/>
    <w:rsid w:val="00216A5A"/>
    <w:rsid w:val="00475791"/>
    <w:rsid w:val="007A7126"/>
    <w:rsid w:val="00A17404"/>
    <w:rsid w:val="00AB78F4"/>
    <w:rsid w:val="00AC7678"/>
    <w:rsid w:val="00C55249"/>
    <w:rsid w:val="00E40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F62FC"/>
  <w15:docId w15:val="{58ED3689-767B-47DC-AFB5-7A4B1D3A7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w:eastAsia="Helvetica" w:hAnsi="Helvetica" w:cs="Helvetica"/>
        <w:color w:val="333333"/>
        <w:sz w:val="18"/>
        <w:szCs w:val="1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2508</Words>
  <Characters>14301</Characters>
  <Application>Microsoft Office Word</Application>
  <DocSecurity>0</DocSecurity>
  <Lines>119</Lines>
  <Paragraphs>33</Paragraphs>
  <ScaleCrop>false</ScaleCrop>
  <Company/>
  <LinksUpToDate>false</LinksUpToDate>
  <CharactersWithSpaces>16776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Kevin Mlutkowski</cp:lastModifiedBy>
  <cp:revision>4</cp:revision>
  <dcterms:created xsi:type="dcterms:W3CDTF">2026-06-03T14:45:00Z</dcterms:created>
  <dcterms:modified xsi:type="dcterms:W3CDTF">2026-06-03T16:50:00Z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ffd273a2-1225-44ff-aeef-1586945385f4</vt:lpwstr>
  </property>
</Properties>
</file>