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69884" w14:textId="77777777" w:rsidR="00AA1469" w:rsidRDefault="00D84DD3">
      <w:pPr>
        <w:spacing w:after="30"/>
        <w:jc w:val="center"/>
      </w:pPr>
      <w:r>
        <w:rPr>
          <w:b/>
          <w:bCs/>
          <w:color w:val="00447C"/>
          <w:sz w:val="32"/>
          <w:szCs w:val="32"/>
        </w:rPr>
        <w:t>GREENGIRT XO™ SPECIFICATION DEFENSE</w:t>
      </w:r>
    </w:p>
    <w:p w14:paraId="6465B91F" w14:textId="77777777" w:rsidR="00AA1469" w:rsidRDefault="00D84DD3">
      <w:pPr>
        <w:spacing w:after="60"/>
        <w:jc w:val="center"/>
      </w:pPr>
      <w:r>
        <w:rPr>
          <w:color w:val="00447C"/>
          <w:sz w:val="20"/>
          <w:szCs w:val="20"/>
        </w:rPr>
        <w:t>QUICK REFERENCE: 7 Questions to Ask Any Proposed Substitute</w:t>
      </w:r>
    </w:p>
    <w:p w14:paraId="2D7BCACE" w14:textId="77777777" w:rsidR="00AA1469" w:rsidRDefault="00D84DD3">
      <w:pPr>
        <w:spacing w:before="60" w:after="40"/>
      </w:pPr>
      <w:r>
        <w:rPr>
          <w:b/>
          <w:bCs/>
          <w:color w:val="00447C"/>
        </w:rPr>
        <w:t>Document: A2P-S-XO-GDE01-v2.3 • 2026-05-21</w:t>
      </w:r>
    </w:p>
    <w:p w14:paraId="012013F0" w14:textId="77777777" w:rsidR="00AA1469" w:rsidRDefault="00D84DD3">
      <w:pPr>
        <w:spacing w:after="80"/>
      </w:pPr>
      <w:r>
        <w:rPr>
          <w:b/>
          <w:bCs/>
          <w:color w:val="00447C"/>
        </w:rPr>
        <w:t>Owner: Sales</w:t>
      </w:r>
    </w:p>
    <w:p w14:paraId="46A97C29" w14:textId="77777777" w:rsidR="00AA1469" w:rsidRDefault="00AA1469">
      <w:pPr>
        <w:pBdr>
          <w:bottom w:val="single" w:sz="2" w:space="1" w:color="CCCCCC"/>
        </w:pBdr>
        <w:spacing w:before="60" w:after="80"/>
      </w:pPr>
    </w:p>
    <w:p w14:paraId="6F0CFD8B" w14:textId="77777777" w:rsidR="00AA1469" w:rsidRDefault="00D84DD3">
      <w:pPr>
        <w:spacing w:after="100"/>
      </w:pPr>
      <w:r>
        <w:t>Your specification includes seven interdependent performance requirements for fenestration support framing. These requirements will likely be challenged during bidding. When a substitution request arrives, ask these seven questions before evaluating the product: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8160"/>
      </w:tblGrid>
      <w:tr w:rsidR="00AA1469" w14:paraId="2DFB6D59" w14:textId="77777777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447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067C231" w14:textId="77777777" w:rsidR="00AA1469" w:rsidRDefault="00D84DD3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1</w:t>
            </w:r>
          </w:p>
          <w:p w14:paraId="0791C605" w14:textId="77777777" w:rsidR="00AA1469" w:rsidRDefault="00D84DD3">
            <w:pPr>
              <w:spacing w:before="20"/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THERMAL</w:t>
            </w:r>
          </w:p>
        </w:tc>
        <w:tc>
          <w:tcPr>
            <w:tcW w:w="8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E6656B9" w14:textId="77777777" w:rsidR="00AA1469" w:rsidRDefault="00D84DD3">
            <w:pPr>
              <w:spacing w:after="50"/>
            </w:pPr>
            <w:r>
              <w:rPr>
                <w:b/>
                <w:bCs/>
                <w:color w:val="00447C"/>
              </w:rPr>
              <w:t xml:space="preserve">Ask: </w:t>
            </w:r>
            <w:r>
              <w:rPr>
                <w:b/>
                <w:bCs/>
              </w:rPr>
              <w:t>“Provide third-party Psi values for sill, head, and jamb — not R-values.”</w:t>
            </w:r>
          </w:p>
          <w:p w14:paraId="3719FE27" w14:textId="77777777" w:rsidR="00AA1469" w:rsidRDefault="00D84DD3">
            <w:pPr>
              <w:spacing w:after="40"/>
            </w:pPr>
            <w:r>
              <w:rPr>
                <w:b/>
                <w:bCs/>
                <w:sz w:val="16"/>
                <w:szCs w:val="16"/>
              </w:rPr>
              <w:t xml:space="preserve">Requirement: </w:t>
            </w:r>
            <w:r>
              <w:rPr>
                <w:sz w:val="16"/>
                <w:szCs w:val="16"/>
              </w:rPr>
              <w:t>Psi ≤ 0.025 Btu/(</w:t>
            </w:r>
            <w:proofErr w:type="spellStart"/>
            <w:r>
              <w:rPr>
                <w:sz w:val="16"/>
                <w:szCs w:val="16"/>
              </w:rPr>
              <w:t>hr·ft</w:t>
            </w:r>
            <w:proofErr w:type="spellEnd"/>
            <w:r>
              <w:rPr>
                <w:sz w:val="16"/>
                <w:szCs w:val="16"/>
              </w:rPr>
              <w:t>·°F) [0.043 W/(</w:t>
            </w:r>
            <w:proofErr w:type="spellStart"/>
            <w:r>
              <w:rPr>
                <w:sz w:val="16"/>
                <w:szCs w:val="16"/>
              </w:rPr>
              <w:t>m·K</w:t>
            </w:r>
            <w:proofErr w:type="spellEnd"/>
            <w:r>
              <w:rPr>
                <w:sz w:val="16"/>
                <w:szCs w:val="16"/>
              </w:rPr>
              <w:t>)] per ISO 10211.</w:t>
            </w:r>
          </w:p>
          <w:p w14:paraId="7B37FD40" w14:textId="77777777" w:rsidR="00AA1469" w:rsidRDefault="00D84DD3">
            <w:r>
              <w:rPr>
                <w:b/>
                <w:bCs/>
                <w:color w:val="00447C"/>
                <w:sz w:val="16"/>
                <w:szCs w:val="16"/>
              </w:rPr>
              <w:t xml:space="preserve">Red flag: </w:t>
            </w:r>
            <w:r>
              <w:rPr>
                <w:i/>
                <w:iCs/>
                <w:sz w:val="16"/>
                <w:szCs w:val="16"/>
              </w:rPr>
              <w:t>R-value claims without Psi data. Psi data without identification of the wall assembly context (backup framing, CI depth, fenestration type) modeled.</w:t>
            </w:r>
          </w:p>
        </w:tc>
      </w:tr>
      <w:tr w:rsidR="00AA1469" w14:paraId="14596C31" w14:textId="77777777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447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19EB4CB" w14:textId="77777777" w:rsidR="00AA1469" w:rsidRDefault="00D84DD3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2</w:t>
            </w:r>
          </w:p>
          <w:p w14:paraId="608A91D5" w14:textId="77777777" w:rsidR="00AA1469" w:rsidRDefault="00D84DD3">
            <w:pPr>
              <w:spacing w:before="20"/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ALIGNMENT</w:t>
            </w:r>
          </w:p>
        </w:tc>
        <w:tc>
          <w:tcPr>
            <w:tcW w:w="8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F097A29" w14:textId="77777777" w:rsidR="00AA1469" w:rsidRDefault="00D84DD3">
            <w:pPr>
              <w:spacing w:after="50"/>
            </w:pPr>
            <w:r>
              <w:rPr>
                <w:b/>
                <w:bCs/>
                <w:color w:val="00447C"/>
              </w:rPr>
              <w:t xml:space="preserve">Ask: </w:t>
            </w:r>
            <w:r>
              <w:rPr>
                <w:b/>
                <w:bCs/>
              </w:rPr>
              <w:t>“Show section detail demonstrating glazing alignment with the exterior face of the CI plane.”</w:t>
            </w:r>
          </w:p>
          <w:p w14:paraId="69A0524E" w14:textId="77777777" w:rsidR="00AA1469" w:rsidRDefault="00D84DD3">
            <w:pPr>
              <w:spacing w:after="40"/>
            </w:pPr>
            <w:r>
              <w:rPr>
                <w:b/>
                <w:bCs/>
                <w:sz w:val="16"/>
                <w:szCs w:val="16"/>
              </w:rPr>
              <w:t xml:space="preserve">Requirement: </w:t>
            </w:r>
            <w:r>
              <w:rPr>
                <w:sz w:val="16"/>
                <w:szCs w:val="16"/>
              </w:rPr>
              <w:t>Outermost glazing surface flush with or recessed up to 1” inboard of CI plane, shall not extend outboard.</w:t>
            </w:r>
          </w:p>
          <w:p w14:paraId="46826B41" w14:textId="77777777" w:rsidR="00AA1469" w:rsidRDefault="00D84DD3">
            <w:r>
              <w:rPr>
                <w:b/>
                <w:bCs/>
                <w:color w:val="00447C"/>
                <w:sz w:val="16"/>
                <w:szCs w:val="16"/>
              </w:rPr>
              <w:t xml:space="preserve">Red flag: </w:t>
            </w:r>
            <w:r>
              <w:rPr>
                <w:i/>
                <w:iCs/>
                <w:sz w:val="16"/>
                <w:szCs w:val="16"/>
              </w:rPr>
              <w:t>No section detail provided.</w:t>
            </w:r>
          </w:p>
        </w:tc>
      </w:tr>
      <w:tr w:rsidR="00AA1469" w14:paraId="63404E2C" w14:textId="77777777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447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5984388" w14:textId="77777777" w:rsidR="00AA1469" w:rsidRDefault="00D84DD3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3</w:t>
            </w:r>
          </w:p>
          <w:p w14:paraId="7D6386ED" w14:textId="77777777" w:rsidR="00AA1469" w:rsidRDefault="00D84DD3">
            <w:pPr>
              <w:spacing w:before="20"/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STRUCTURAL</w:t>
            </w:r>
          </w:p>
        </w:tc>
        <w:tc>
          <w:tcPr>
            <w:tcW w:w="8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E3C4016" w14:textId="77777777" w:rsidR="00AA1469" w:rsidRDefault="00D84DD3">
            <w:pPr>
              <w:spacing w:after="50"/>
            </w:pPr>
            <w:r>
              <w:rPr>
                <w:b/>
                <w:bCs/>
                <w:color w:val="00447C"/>
              </w:rPr>
              <w:t xml:space="preserve">Ask: </w:t>
            </w:r>
            <w:r>
              <w:rPr>
                <w:b/>
                <w:bCs/>
              </w:rPr>
              <w:t>“Provide PE-stamped calculations for this project’s loading, including eccentric cantilever analysis. Confirm all fasteners terminate in metal backers or bolted connections.”</w:t>
            </w:r>
          </w:p>
          <w:p w14:paraId="18736DED" w14:textId="77777777" w:rsidR="00AA1469" w:rsidRDefault="00D84DD3">
            <w:pPr>
              <w:spacing w:after="40"/>
            </w:pPr>
            <w:r>
              <w:rPr>
                <w:b/>
                <w:bCs/>
                <w:sz w:val="16"/>
                <w:szCs w:val="16"/>
              </w:rPr>
              <w:t xml:space="preserve">Requirement: </w:t>
            </w:r>
            <w:r>
              <w:rPr>
                <w:sz w:val="16"/>
                <w:szCs w:val="16"/>
              </w:rPr>
              <w:t xml:space="preserve">Project-specific PE-stamped calcs. Anisotropic properties of composite, lumber, or non-metal materials accounted for. All fasteners into metal </w:t>
            </w:r>
            <w:proofErr w:type="gramStart"/>
            <w:r>
              <w:rPr>
                <w:sz w:val="16"/>
                <w:szCs w:val="16"/>
              </w:rPr>
              <w:t>backers</w:t>
            </w:r>
            <w:proofErr w:type="gramEnd"/>
            <w:r>
              <w:rPr>
                <w:sz w:val="16"/>
                <w:szCs w:val="16"/>
              </w:rPr>
              <w:t xml:space="preserve"> or bolted connections only.</w:t>
            </w:r>
          </w:p>
          <w:p w14:paraId="1F4CE029" w14:textId="77777777" w:rsidR="00AA1469" w:rsidRDefault="00D84DD3">
            <w:r>
              <w:rPr>
                <w:b/>
                <w:bCs/>
                <w:color w:val="00447C"/>
                <w:sz w:val="16"/>
                <w:szCs w:val="16"/>
              </w:rPr>
              <w:t xml:space="preserve">Red flag: </w:t>
            </w:r>
            <w:r>
              <w:rPr>
                <w:i/>
                <w:iCs/>
                <w:sz w:val="16"/>
                <w:szCs w:val="16"/>
              </w:rPr>
              <w:t>Uniform load calcs only; no PE; fasteners into composite or FRP without metal reinforcement.</w:t>
            </w:r>
          </w:p>
        </w:tc>
      </w:tr>
      <w:tr w:rsidR="00AA1469" w14:paraId="5F1D905C" w14:textId="77777777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447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503E08D" w14:textId="77777777" w:rsidR="00AA1469" w:rsidRDefault="00D84DD3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4</w:t>
            </w:r>
          </w:p>
          <w:p w14:paraId="70CA50A5" w14:textId="77777777" w:rsidR="00AA1469" w:rsidRDefault="00D84DD3">
            <w:pPr>
              <w:spacing w:before="20"/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AIR/WATER</w:t>
            </w:r>
          </w:p>
        </w:tc>
        <w:tc>
          <w:tcPr>
            <w:tcW w:w="8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C84B877" w14:textId="77777777" w:rsidR="00AA1469" w:rsidRDefault="00D84DD3">
            <w:pPr>
              <w:spacing w:after="50"/>
            </w:pPr>
            <w:r>
              <w:rPr>
                <w:b/>
                <w:bCs/>
                <w:color w:val="00447C"/>
              </w:rPr>
              <w:t xml:space="preserve">Ask: </w:t>
            </w:r>
            <w:r>
              <w:rPr>
                <w:b/>
                <w:bCs/>
              </w:rPr>
              <w:t>“What pressure was testing performed at? Is the framing material non-porous?”</w:t>
            </w:r>
          </w:p>
          <w:p w14:paraId="2AA55DB6" w14:textId="77777777" w:rsidR="00AA1469" w:rsidRDefault="00D84DD3">
            <w:pPr>
              <w:spacing w:after="40"/>
            </w:pPr>
            <w:r>
              <w:rPr>
                <w:b/>
                <w:bCs/>
                <w:sz w:val="16"/>
                <w:szCs w:val="16"/>
              </w:rPr>
              <w:t xml:space="preserve">Requirement: </w:t>
            </w:r>
            <w:r>
              <w:rPr>
                <w:sz w:val="16"/>
                <w:szCs w:val="16"/>
              </w:rPr>
              <w:t xml:space="preserve">50 </w:t>
            </w:r>
            <w:proofErr w:type="spellStart"/>
            <w:r>
              <w:rPr>
                <w:sz w:val="16"/>
                <w:szCs w:val="16"/>
              </w:rPr>
              <w:t>psf</w:t>
            </w:r>
            <w:proofErr w:type="spellEnd"/>
            <w:r>
              <w:rPr>
                <w:sz w:val="16"/>
                <w:szCs w:val="16"/>
              </w:rPr>
              <w:t xml:space="preserve"> per ASTM E2357 (air) and ASTM E331 (water). Non-absorptive material.</w:t>
            </w:r>
          </w:p>
          <w:p w14:paraId="2508D69A" w14:textId="77777777" w:rsidR="00AA1469" w:rsidRDefault="00D84DD3">
            <w:r>
              <w:rPr>
                <w:b/>
                <w:bCs/>
                <w:color w:val="00447C"/>
                <w:sz w:val="16"/>
                <w:szCs w:val="16"/>
              </w:rPr>
              <w:t xml:space="preserve">Red flag: </w:t>
            </w:r>
            <w:r>
              <w:rPr>
                <w:i/>
                <w:iCs/>
                <w:sz w:val="16"/>
                <w:szCs w:val="16"/>
              </w:rPr>
              <w:t>Testing at 12 or 20 psf. Material requires surface wrapping.</w:t>
            </w:r>
          </w:p>
        </w:tc>
      </w:tr>
      <w:tr w:rsidR="00AA1469" w14:paraId="050E6659" w14:textId="77777777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447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C37FF07" w14:textId="77777777" w:rsidR="00AA1469" w:rsidRDefault="00D84DD3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5</w:t>
            </w:r>
          </w:p>
          <w:p w14:paraId="5B3F6EB5" w14:textId="77777777" w:rsidR="00AA1469" w:rsidRDefault="00D84DD3">
            <w:pPr>
              <w:spacing w:before="20"/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FIRE SAFETY</w:t>
            </w:r>
          </w:p>
        </w:tc>
        <w:tc>
          <w:tcPr>
            <w:tcW w:w="8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B86F451" w14:textId="77777777" w:rsidR="00AA1469" w:rsidRDefault="00D84DD3">
            <w:pPr>
              <w:spacing w:after="50"/>
            </w:pPr>
            <w:r>
              <w:rPr>
                <w:b/>
                <w:bCs/>
                <w:color w:val="00447C"/>
              </w:rPr>
              <w:t xml:space="preserve">Ask: </w:t>
            </w:r>
            <w:r>
              <w:rPr>
                <w:b/>
                <w:bCs/>
              </w:rPr>
              <w:t>“Are dead load support members non-combustible per IBC? Provide ASTM E84 and NFPA 285 documentation.”</w:t>
            </w:r>
          </w:p>
          <w:p w14:paraId="735783BE" w14:textId="77777777" w:rsidR="00AA1469" w:rsidRDefault="00D84DD3">
            <w:pPr>
              <w:spacing w:after="40"/>
            </w:pPr>
            <w:r>
              <w:rPr>
                <w:b/>
                <w:bCs/>
                <w:sz w:val="16"/>
                <w:szCs w:val="16"/>
              </w:rPr>
              <w:t xml:space="preserve">Requirement: </w:t>
            </w:r>
            <w:r>
              <w:rPr>
                <w:sz w:val="16"/>
                <w:szCs w:val="16"/>
              </w:rPr>
              <w:t>Non-combustible per IBC Section 202. ASTM E84 Class A. NFPA 285 where required.</w:t>
            </w:r>
          </w:p>
          <w:p w14:paraId="7F65F253" w14:textId="77777777" w:rsidR="00AA1469" w:rsidRDefault="00D84DD3">
            <w:r>
              <w:rPr>
                <w:b/>
                <w:bCs/>
                <w:color w:val="00447C"/>
                <w:sz w:val="16"/>
                <w:szCs w:val="16"/>
              </w:rPr>
              <w:t xml:space="preserve">Red flag: </w:t>
            </w:r>
            <w:r>
              <w:rPr>
                <w:i/>
                <w:iCs/>
                <w:sz w:val="16"/>
                <w:szCs w:val="16"/>
              </w:rPr>
              <w:t>Plastic-only load-bearing components.</w:t>
            </w:r>
          </w:p>
        </w:tc>
      </w:tr>
      <w:tr w:rsidR="00AA1469" w14:paraId="7E4926C0" w14:textId="77777777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447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79121E" w14:textId="77777777" w:rsidR="00AA1469" w:rsidRDefault="00D84DD3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6</w:t>
            </w:r>
          </w:p>
          <w:p w14:paraId="03B8BBB4" w14:textId="77777777" w:rsidR="00AA1469" w:rsidRDefault="00D84DD3">
            <w:pPr>
              <w:spacing w:before="20"/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SINGLE-SOURCE</w:t>
            </w:r>
          </w:p>
        </w:tc>
        <w:tc>
          <w:tcPr>
            <w:tcW w:w="8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C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105A1B6" w14:textId="77777777" w:rsidR="00AA1469" w:rsidRDefault="00D84DD3">
            <w:pPr>
              <w:spacing w:after="50"/>
            </w:pPr>
            <w:r>
              <w:rPr>
                <w:b/>
                <w:bCs/>
                <w:color w:val="00447C"/>
              </w:rPr>
              <w:t xml:space="preserve">Ask: </w:t>
            </w:r>
            <w:r>
              <w:rPr>
                <w:b/>
                <w:bCs/>
              </w:rPr>
              <w:t>“Are all components — framing, interface hardware, clips — from one manufacturer under one warranty?”</w:t>
            </w:r>
          </w:p>
          <w:p w14:paraId="30199B3C" w14:textId="77777777" w:rsidR="00AA1469" w:rsidRDefault="00D84DD3">
            <w:pPr>
              <w:spacing w:after="40"/>
            </w:pPr>
            <w:r>
              <w:rPr>
                <w:b/>
                <w:bCs/>
                <w:sz w:val="16"/>
                <w:szCs w:val="16"/>
              </w:rPr>
              <w:t xml:space="preserve">Requirement: </w:t>
            </w:r>
            <w:r>
              <w:rPr>
                <w:sz w:val="16"/>
                <w:szCs w:val="16"/>
              </w:rPr>
              <w:t>Factory-engineered modular interface flanges. Single manufacturer, single warranty.</w:t>
            </w:r>
          </w:p>
          <w:p w14:paraId="616517A6" w14:textId="77777777" w:rsidR="00AA1469" w:rsidRDefault="00D84DD3">
            <w:r>
              <w:rPr>
                <w:b/>
                <w:bCs/>
                <w:color w:val="00447C"/>
                <w:sz w:val="16"/>
                <w:szCs w:val="16"/>
              </w:rPr>
              <w:t xml:space="preserve">Red flag: </w:t>
            </w:r>
            <w:r>
              <w:rPr>
                <w:i/>
                <w:iCs/>
                <w:sz w:val="16"/>
                <w:szCs w:val="16"/>
              </w:rPr>
              <w:t>Interface components “by others” or split warranty.</w:t>
            </w:r>
          </w:p>
        </w:tc>
      </w:tr>
      <w:tr w:rsidR="00AA1469" w14:paraId="5D0A6486" w14:textId="77777777"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447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7607FB8" w14:textId="77777777" w:rsidR="00AA1469" w:rsidRDefault="00D84DD3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7</w:t>
            </w:r>
          </w:p>
          <w:p w14:paraId="2C10AC4F" w14:textId="77777777" w:rsidR="00AA1469" w:rsidRDefault="00D84DD3">
            <w:pPr>
              <w:spacing w:before="20"/>
              <w:jc w:val="center"/>
            </w:pPr>
            <w:r>
              <w:rPr>
                <w:b/>
                <w:bCs/>
                <w:color w:val="FFFFFF"/>
                <w:sz w:val="14"/>
                <w:szCs w:val="14"/>
              </w:rPr>
              <w:t>ASSEMBLY</w:t>
            </w:r>
          </w:p>
        </w:tc>
        <w:tc>
          <w:tcPr>
            <w:tcW w:w="8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6AF0CD9" w14:textId="77777777" w:rsidR="00AA1469" w:rsidRDefault="00D84DD3">
            <w:pPr>
              <w:spacing w:after="50"/>
            </w:pPr>
            <w:r>
              <w:rPr>
                <w:b/>
                <w:bCs/>
                <w:color w:val="00447C"/>
              </w:rPr>
              <w:t xml:space="preserve">Ask: </w:t>
            </w:r>
            <w:r>
              <w:rPr>
                <w:b/>
                <w:bCs/>
              </w:rPr>
              <w:t>“Provide the complete assembly thermal certification — including all brackets, flanking paths, and surrounding construction. Is it from an independent consultant with a PE stamp?”</w:t>
            </w:r>
          </w:p>
          <w:p w14:paraId="548C9282" w14:textId="77777777" w:rsidR="00AA1469" w:rsidRDefault="00D84DD3">
            <w:pPr>
              <w:spacing w:after="40"/>
            </w:pPr>
            <w:r>
              <w:rPr>
                <w:b/>
                <w:bCs/>
                <w:sz w:val="16"/>
                <w:szCs w:val="16"/>
              </w:rPr>
              <w:t xml:space="preserve">Requirement: </w:t>
            </w:r>
            <w:r>
              <w:rPr>
                <w:sz w:val="16"/>
                <w:szCs w:val="16"/>
              </w:rPr>
              <w:t>Assembly Thermal Efficiency ≥ 93%. Chi ≤ 0.005 Btu/(</w:t>
            </w:r>
            <w:proofErr w:type="spellStart"/>
            <w:r>
              <w:rPr>
                <w:sz w:val="16"/>
                <w:szCs w:val="16"/>
              </w:rPr>
              <w:t>hr</w:t>
            </w:r>
            <w:proofErr w:type="spellEnd"/>
            <w:r>
              <w:rPr>
                <w:sz w:val="16"/>
                <w:szCs w:val="16"/>
              </w:rPr>
              <w:t>·°F) per bracket. 12” simulation boundary. Independent third-party per ISO 10211. Project-specific.</w:t>
            </w:r>
          </w:p>
          <w:p w14:paraId="2FDD6F7A" w14:textId="77777777" w:rsidR="00AA1469" w:rsidRDefault="00D84DD3">
            <w:r>
              <w:rPr>
                <w:b/>
                <w:bCs/>
                <w:color w:val="00447C"/>
                <w:sz w:val="16"/>
                <w:szCs w:val="16"/>
              </w:rPr>
              <w:t xml:space="preserve">Red flag: </w:t>
            </w:r>
            <w:r>
              <w:rPr>
                <w:i/>
                <w:iCs/>
                <w:sz w:val="16"/>
                <w:szCs w:val="16"/>
              </w:rPr>
              <w:t>Product modeled in isolation. No chi-value for brackets. Manufacturer-performed modeling. Generic (not project-specific) report.</w:t>
            </w:r>
          </w:p>
        </w:tc>
      </w:tr>
    </w:tbl>
    <w:p w14:paraId="72BF5446" w14:textId="77777777" w:rsidR="00AA1469" w:rsidRDefault="00D84DD3">
      <w:pPr>
        <w:pBdr>
          <w:left w:val="single" w:sz="12" w:space="8" w:color="00447C"/>
        </w:pBdr>
        <w:spacing w:before="80" w:after="100"/>
        <w:ind w:left="560"/>
      </w:pPr>
      <w:r>
        <w:rPr>
          <w:b/>
          <w:bCs/>
          <w:i/>
          <w:iCs/>
          <w:color w:val="00447C"/>
        </w:rPr>
        <w:t>A product must meet ALL SEVEN requirements. If any question goes unanswered, the substitution does not meet specification.</w:t>
      </w:r>
    </w:p>
    <w:p w14:paraId="3110FB57" w14:textId="77777777" w:rsidR="00AA1469" w:rsidRDefault="00AA1469">
      <w:pPr>
        <w:pBdr>
          <w:bottom w:val="single" w:sz="2" w:space="1" w:color="CCCCCC"/>
        </w:pBdr>
        <w:spacing w:before="100" w:after="100"/>
      </w:pPr>
    </w:p>
    <w:p w14:paraId="73870075" w14:textId="77777777" w:rsidR="00AA1469" w:rsidRDefault="00D84DD3">
      <w:pPr>
        <w:pBdr>
          <w:bottom w:val="single" w:sz="4" w:space="4" w:color="00447C"/>
        </w:pBdr>
        <w:spacing w:after="70"/>
      </w:pPr>
      <w:r>
        <w:rPr>
          <w:b/>
          <w:bCs/>
          <w:color w:val="00447C"/>
          <w:sz w:val="20"/>
          <w:szCs w:val="20"/>
        </w:rPr>
        <w:t>BEFORE YOU ACCEPT: WHAT CHANGES IN YOUR BUILDING?</w:t>
      </w:r>
    </w:p>
    <w:p w14:paraId="1D299020" w14:textId="77777777" w:rsidR="00AA1469" w:rsidRDefault="00D84DD3">
      <w:pPr>
        <w:spacing w:before="60" w:after="80"/>
      </w:pPr>
      <w:r>
        <w:t>The substitution is proposed after your energy model was submitted, HVAC was sized, and mechanical was bid. Accepting a lower-performing product may invalidate those downstream systems. Ask:</w:t>
      </w:r>
    </w:p>
    <w:p w14:paraId="5E8AECC5" w14:textId="77777777" w:rsidR="00AA1469" w:rsidRDefault="00D84DD3">
      <w:pPr>
        <w:spacing w:after="70"/>
        <w:ind w:left="560" w:hanging="360"/>
      </w:pPr>
      <w:r>
        <w:rPr>
          <w:b/>
          <w:bCs/>
        </w:rPr>
        <w:t>1.</w:t>
      </w:r>
      <w:r>
        <w:tab/>
        <w:t>Has the energy model been re-run with the proposed product’s actual Psi values? Does it still comply with code?</w:t>
      </w:r>
    </w:p>
    <w:p w14:paraId="12AA36E8" w14:textId="77777777" w:rsidR="00AA1469" w:rsidRDefault="00D84DD3">
      <w:pPr>
        <w:spacing w:after="70"/>
        <w:ind w:left="560" w:hanging="360"/>
      </w:pPr>
      <w:r>
        <w:rPr>
          <w:b/>
          <w:bCs/>
        </w:rPr>
        <w:t>2.</w:t>
      </w:r>
      <w:r>
        <w:tab/>
        <w:t>Is the specified HVAC equipment still adequately sized? If not, who pays for the redesign and schedule delay?</w:t>
      </w:r>
    </w:p>
    <w:p w14:paraId="270926FE" w14:textId="77777777" w:rsidR="00AA1469" w:rsidRDefault="00D84DD3">
      <w:pPr>
        <w:spacing w:after="70"/>
        <w:ind w:left="560" w:hanging="360"/>
      </w:pPr>
      <w:r>
        <w:rPr>
          <w:b/>
          <w:bCs/>
        </w:rPr>
        <w:t>3.</w:t>
      </w:r>
      <w:r>
        <w:tab/>
        <w:t>Who assumes liability for the increased lifecycle operating costs? (Typical projects: $30,000+/year; $1M+ over 20 years.)</w:t>
      </w:r>
    </w:p>
    <w:p w14:paraId="2529A768" w14:textId="77777777" w:rsidR="00AA1469" w:rsidRDefault="00D84DD3">
      <w:pPr>
        <w:spacing w:before="80" w:after="100"/>
      </w:pPr>
      <w:r>
        <w:rPr>
          <w:i/>
          <w:iCs/>
          <w:color w:val="666666"/>
        </w:rPr>
        <w:t>The cost of proving a substitution works almost always exceeds whatever the GC hoped to save.</w:t>
      </w:r>
    </w:p>
    <w:p w14:paraId="4A07FF0C" w14:textId="77777777" w:rsidR="00AA1469" w:rsidRDefault="00AA1469">
      <w:pPr>
        <w:pBdr>
          <w:bottom w:val="single" w:sz="2" w:space="1" w:color="CCCCCC"/>
        </w:pBdr>
        <w:spacing w:before="100" w:after="100"/>
      </w:pPr>
    </w:p>
    <w:p w14:paraId="2FD04707" w14:textId="77777777" w:rsidR="00AA1469" w:rsidRDefault="00D84DD3">
      <w:pPr>
        <w:pBdr>
          <w:bottom w:val="single" w:sz="4" w:space="4" w:color="00447C"/>
        </w:pBdr>
        <w:spacing w:after="70"/>
      </w:pPr>
      <w:r>
        <w:rPr>
          <w:b/>
          <w:bCs/>
          <w:color w:val="00447C"/>
          <w:sz w:val="20"/>
          <w:szCs w:val="20"/>
        </w:rPr>
        <w:t>YOUR COMPLETE DEFENSE TOOLKIT</w:t>
      </w:r>
    </w:p>
    <w:p w14:paraId="64419EF3" w14:textId="77777777" w:rsidR="00AA1469" w:rsidRDefault="00D84DD3">
      <w:pPr>
        <w:spacing w:before="60" w:after="60"/>
      </w:pPr>
      <w:r>
        <w:t>A2P has prepared a full Specification Defense Guide with:</w:t>
      </w:r>
    </w:p>
    <w:p w14:paraId="447BAE16" w14:textId="77777777" w:rsidR="00AA1469" w:rsidRDefault="00D84DD3">
      <w:pPr>
        <w:spacing w:after="50"/>
        <w:ind w:left="560" w:hanging="280"/>
      </w:pPr>
      <w:r>
        <w:t>•  Detailed evaluation criteria for each of the 7 Performance Requirements with building-science rationale</w:t>
      </w:r>
    </w:p>
    <w:p w14:paraId="57D26BB7" w14:textId="77777777" w:rsidR="00AA1469" w:rsidRDefault="00D84DD3">
      <w:pPr>
        <w:spacing w:after="50"/>
        <w:ind w:left="560" w:hanging="280"/>
      </w:pPr>
      <w:r>
        <w:t>•  Substitution Evaluation Checklist — pass/fail form for your project file</w:t>
      </w:r>
    </w:p>
    <w:p w14:paraId="3E7B30A2" w14:textId="77777777" w:rsidR="00AA1469" w:rsidRDefault="00D84DD3">
      <w:pPr>
        <w:spacing w:after="50"/>
        <w:ind w:left="560" w:hanging="280"/>
      </w:pPr>
      <w:r>
        <w:t>•  Sample rejection language ready to copy into project correspondence</w:t>
      </w:r>
    </w:p>
    <w:p w14:paraId="170598EF" w14:textId="77777777" w:rsidR="00AA1469" w:rsidRDefault="00D84DD3">
      <w:pPr>
        <w:spacing w:after="50"/>
        <w:ind w:left="560" w:hanging="280"/>
      </w:pPr>
      <w:r>
        <w:t>•  Downstream impact assessment — energy code, HVAC, lifecycle cost, condensation risk</w:t>
      </w:r>
    </w:p>
    <w:p w14:paraId="4CC8D9BF" w14:textId="37BE5A89" w:rsidR="00AA1469" w:rsidRDefault="00D84DD3">
      <w:pPr>
        <w:spacing w:after="50"/>
        <w:ind w:left="560" w:hanging="280"/>
      </w:pPr>
      <w:r>
        <w:t xml:space="preserve">•  Project-specific thermal analysis via the GreenGirt XO </w:t>
      </w:r>
      <w:r w:rsidR="00493908">
        <w:t>Building Energy</w:t>
      </w:r>
      <w:r>
        <w:t xml:space="preserve"> Calculator</w:t>
      </w:r>
    </w:p>
    <w:p w14:paraId="505654D2" w14:textId="77777777" w:rsidR="00AA1469" w:rsidRDefault="00D84DD3">
      <w:pPr>
        <w:spacing w:before="80" w:after="60"/>
      </w:pPr>
      <w:r>
        <w:rPr>
          <w:i/>
          <w:iCs/>
          <w:color w:val="666666"/>
        </w:rPr>
        <w:t>Ask your A2P representative for the full guide, or contact us directly:</w:t>
      </w:r>
    </w:p>
    <w:p w14:paraId="1B00CD5D" w14:textId="77777777" w:rsidR="00AA1469" w:rsidRDefault="00D84DD3">
      <w:pPr>
        <w:spacing w:after="40"/>
      </w:pPr>
      <w:r>
        <w:rPr>
          <w:b/>
          <w:bCs/>
          <w:color w:val="00447C"/>
        </w:rPr>
        <w:t>Advanced Architectural Products (A2</w:t>
      </w:r>
      <w:proofErr w:type="gramStart"/>
      <w:r>
        <w:rPr>
          <w:b/>
          <w:bCs/>
          <w:color w:val="00447C"/>
        </w:rPr>
        <w:t>P)</w:t>
      </w:r>
      <w:r>
        <w:t xml:space="preserve">  |</w:t>
      </w:r>
      <w:proofErr w:type="gramEnd"/>
      <w:r>
        <w:t xml:space="preserve">  Manufacturer of a portfolio of continuous insulation and building enclosure systems</w:t>
      </w:r>
    </w:p>
    <w:p w14:paraId="08D330CC" w14:textId="77777777" w:rsidR="00AA1469" w:rsidRDefault="00D84DD3">
      <w:r>
        <w:rPr>
          <w:b/>
          <w:bCs/>
          <w:color w:val="00447C"/>
        </w:rPr>
        <w:t>(269) 355-</w:t>
      </w:r>
      <w:proofErr w:type="gramStart"/>
      <w:r>
        <w:rPr>
          <w:b/>
          <w:bCs/>
          <w:color w:val="00447C"/>
        </w:rPr>
        <w:t>1818  •</w:t>
      </w:r>
      <w:proofErr w:type="gramEnd"/>
      <w:r>
        <w:rPr>
          <w:b/>
          <w:bCs/>
          <w:color w:val="00447C"/>
        </w:rPr>
        <w:t xml:space="preserve">  </w:t>
      </w:r>
      <w:proofErr w:type="gramStart"/>
      <w:r>
        <w:rPr>
          <w:b/>
          <w:bCs/>
          <w:color w:val="00447C"/>
        </w:rPr>
        <w:t>info@greengirt.com  •</w:t>
      </w:r>
      <w:proofErr w:type="gramEnd"/>
      <w:r>
        <w:rPr>
          <w:b/>
          <w:bCs/>
          <w:color w:val="00447C"/>
        </w:rPr>
        <w:t xml:space="preserve">  www.GreenGirt.com</w:t>
      </w:r>
    </w:p>
    <w:sectPr w:rsidR="00AA1469">
      <w:headerReference w:type="default" r:id="rId7"/>
      <w:footerReference w:type="default" r:id="rId8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565FB" w14:textId="77777777" w:rsidR="00A750A1" w:rsidRDefault="00A750A1">
      <w:r>
        <w:separator/>
      </w:r>
    </w:p>
  </w:endnote>
  <w:endnote w:type="continuationSeparator" w:id="0">
    <w:p w14:paraId="7633C7AA" w14:textId="77777777" w:rsidR="00A750A1" w:rsidRDefault="00A75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4937" w14:textId="77777777" w:rsidR="00AA1469" w:rsidRDefault="00D84DD3">
    <w:pPr>
      <w:pBdr>
        <w:top w:val="single" w:sz="1" w:space="4" w:color="CCCCCC"/>
      </w:pBdr>
      <w:spacing w:after="40"/>
      <w:jc w:val="center"/>
    </w:pPr>
    <w:r>
      <w:rPr>
        <w:color w:val="999999"/>
        <w:sz w:val="14"/>
        <w:szCs w:val="14"/>
      </w:rPr>
      <w:t>A2P-S-XO-GDE01-v2.3  •  2026-05-21  •  Advanced Architectural Products  •  (269) 355-1818  •  www.GreenGirt.com</w:t>
    </w:r>
  </w:p>
  <w:p w14:paraId="62169852" w14:textId="77777777" w:rsidR="00AA1469" w:rsidRDefault="00D84DD3">
    <w:pPr>
      <w:jc w:val="center"/>
    </w:pPr>
    <w:r>
      <w:rPr>
        <w:b/>
        <w:bCs/>
        <w:color w:val="666666"/>
        <w:sz w:val="14"/>
        <w:szCs w:val="14"/>
      </w:rPr>
      <w:t xml:space="preserve">Page </w:t>
    </w:r>
    <w:r>
      <w:rPr>
        <w:b/>
        <w:bCs/>
        <w:color w:val="666666"/>
        <w:sz w:val="14"/>
        <w:szCs w:val="14"/>
      </w:rPr>
      <w:fldChar w:fldCharType="begin"/>
    </w:r>
    <w:r>
      <w:rPr>
        <w:b/>
        <w:bCs/>
        <w:color w:val="666666"/>
        <w:sz w:val="14"/>
        <w:szCs w:val="14"/>
      </w:rPr>
      <w:instrText>PAGE</w:instrText>
    </w:r>
    <w:r>
      <w:rPr>
        <w:b/>
        <w:bCs/>
        <w:color w:val="666666"/>
        <w:sz w:val="14"/>
        <w:szCs w:val="14"/>
      </w:rPr>
      <w:fldChar w:fldCharType="separate"/>
    </w:r>
    <w:r w:rsidR="0017237A">
      <w:rPr>
        <w:b/>
        <w:bCs/>
        <w:noProof/>
        <w:color w:val="666666"/>
        <w:sz w:val="14"/>
        <w:szCs w:val="14"/>
      </w:rPr>
      <w:t>1</w:t>
    </w:r>
    <w:r>
      <w:rPr>
        <w:b/>
        <w:bCs/>
        <w:color w:val="666666"/>
        <w:sz w:val="14"/>
        <w:szCs w:val="14"/>
      </w:rPr>
      <w:fldChar w:fldCharType="end"/>
    </w:r>
    <w:r>
      <w:rPr>
        <w:b/>
        <w:bCs/>
        <w:color w:val="666666"/>
        <w:sz w:val="14"/>
        <w:szCs w:val="14"/>
      </w:rPr>
      <w:t xml:space="preserve"> of </w:t>
    </w:r>
    <w:r>
      <w:rPr>
        <w:b/>
        <w:bCs/>
        <w:color w:val="666666"/>
        <w:sz w:val="14"/>
        <w:szCs w:val="14"/>
      </w:rPr>
      <w:fldChar w:fldCharType="begin"/>
    </w:r>
    <w:r>
      <w:rPr>
        <w:b/>
        <w:bCs/>
        <w:color w:val="666666"/>
        <w:sz w:val="14"/>
        <w:szCs w:val="14"/>
      </w:rPr>
      <w:instrText>NUMPAGES</w:instrText>
    </w:r>
    <w:r>
      <w:rPr>
        <w:b/>
        <w:bCs/>
        <w:color w:val="666666"/>
        <w:sz w:val="14"/>
        <w:szCs w:val="14"/>
      </w:rPr>
      <w:fldChar w:fldCharType="separate"/>
    </w:r>
    <w:r w:rsidR="0017237A">
      <w:rPr>
        <w:b/>
        <w:bCs/>
        <w:noProof/>
        <w:color w:val="666666"/>
        <w:sz w:val="14"/>
        <w:szCs w:val="14"/>
      </w:rPr>
      <w:t>2</w:t>
    </w:r>
    <w:r>
      <w:rPr>
        <w:b/>
        <w:bCs/>
        <w:color w:val="666666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DB4D6" w14:textId="77777777" w:rsidR="00A750A1" w:rsidRDefault="00A750A1">
      <w:r>
        <w:separator/>
      </w:r>
    </w:p>
  </w:footnote>
  <w:footnote w:type="continuationSeparator" w:id="0">
    <w:p w14:paraId="53387DB7" w14:textId="77777777" w:rsidR="00A750A1" w:rsidRDefault="00A75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D9EE0" w14:textId="77777777" w:rsidR="00AA1469" w:rsidRDefault="00D84DD3">
    <w:pPr>
      <w:pBdr>
        <w:bottom w:val="single" w:sz="2" w:space="4" w:color="00447C"/>
      </w:pBdr>
    </w:pPr>
    <w:r>
      <w:rPr>
        <w:b/>
        <w:bCs/>
        <w:color w:val="00447C"/>
        <w:sz w:val="16"/>
        <w:szCs w:val="16"/>
      </w:rPr>
      <w:t>GREENGIRT XO</w:t>
    </w:r>
    <w:r>
      <w:rPr>
        <w:b/>
        <w:bCs/>
        <w:color w:val="00447C"/>
        <w:sz w:val="16"/>
        <w:szCs w:val="16"/>
      </w:rPr>
      <w:t>™  |  SPECIFICATION DEFENSE QUICK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DF3925"/>
    <w:multiLevelType w:val="hybridMultilevel"/>
    <w:tmpl w:val="E3A24D12"/>
    <w:lvl w:ilvl="0" w:tplc="2834DD28">
      <w:start w:val="1"/>
      <w:numFmt w:val="bullet"/>
      <w:lvlText w:val="●"/>
      <w:lvlJc w:val="left"/>
      <w:pPr>
        <w:ind w:left="720" w:hanging="360"/>
      </w:pPr>
    </w:lvl>
    <w:lvl w:ilvl="1" w:tplc="F2FC52EA">
      <w:start w:val="1"/>
      <w:numFmt w:val="bullet"/>
      <w:lvlText w:val="○"/>
      <w:lvlJc w:val="left"/>
      <w:pPr>
        <w:ind w:left="1440" w:hanging="360"/>
      </w:pPr>
    </w:lvl>
    <w:lvl w:ilvl="2" w:tplc="459E458E">
      <w:start w:val="1"/>
      <w:numFmt w:val="bullet"/>
      <w:lvlText w:val="■"/>
      <w:lvlJc w:val="left"/>
      <w:pPr>
        <w:ind w:left="2160" w:hanging="360"/>
      </w:pPr>
    </w:lvl>
    <w:lvl w:ilvl="3" w:tplc="E4FA0E7C">
      <w:start w:val="1"/>
      <w:numFmt w:val="bullet"/>
      <w:lvlText w:val="●"/>
      <w:lvlJc w:val="left"/>
      <w:pPr>
        <w:ind w:left="2880" w:hanging="360"/>
      </w:pPr>
    </w:lvl>
    <w:lvl w:ilvl="4" w:tplc="F8EE5230">
      <w:start w:val="1"/>
      <w:numFmt w:val="bullet"/>
      <w:lvlText w:val="○"/>
      <w:lvlJc w:val="left"/>
      <w:pPr>
        <w:ind w:left="3600" w:hanging="360"/>
      </w:pPr>
    </w:lvl>
    <w:lvl w:ilvl="5" w:tplc="64B4A77C">
      <w:start w:val="1"/>
      <w:numFmt w:val="bullet"/>
      <w:lvlText w:val="■"/>
      <w:lvlJc w:val="left"/>
      <w:pPr>
        <w:ind w:left="4320" w:hanging="360"/>
      </w:pPr>
    </w:lvl>
    <w:lvl w:ilvl="6" w:tplc="B0702990">
      <w:start w:val="1"/>
      <w:numFmt w:val="bullet"/>
      <w:lvlText w:val="●"/>
      <w:lvlJc w:val="left"/>
      <w:pPr>
        <w:ind w:left="5040" w:hanging="360"/>
      </w:pPr>
    </w:lvl>
    <w:lvl w:ilvl="7" w:tplc="F3A80D16">
      <w:start w:val="1"/>
      <w:numFmt w:val="bullet"/>
      <w:lvlText w:val="●"/>
      <w:lvlJc w:val="left"/>
      <w:pPr>
        <w:ind w:left="5760" w:hanging="360"/>
      </w:pPr>
    </w:lvl>
    <w:lvl w:ilvl="8" w:tplc="79D20C8A">
      <w:start w:val="1"/>
      <w:numFmt w:val="bullet"/>
      <w:lvlText w:val="●"/>
      <w:lvlJc w:val="left"/>
      <w:pPr>
        <w:ind w:left="6480" w:hanging="360"/>
      </w:pPr>
    </w:lvl>
  </w:abstractNum>
  <w:num w:numId="1" w16cid:durableId="21247327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469"/>
    <w:rsid w:val="0017237A"/>
    <w:rsid w:val="00493908"/>
    <w:rsid w:val="00A750A1"/>
    <w:rsid w:val="00AA1469"/>
    <w:rsid w:val="00AB78F4"/>
    <w:rsid w:val="00D84DD3"/>
    <w:rsid w:val="00E4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05A00"/>
  <w15:docId w15:val="{58ED3689-767B-47DC-AFB5-7A4B1D3A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vetica" w:eastAsia="Helvetica" w:hAnsi="Helvetica" w:cs="Helvetica"/>
        <w:color w:val="333333"/>
        <w:sz w:val="18"/>
        <w:szCs w:val="1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654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Kevin Mlutkowski</cp:lastModifiedBy>
  <cp:revision>3</cp:revision>
  <dcterms:created xsi:type="dcterms:W3CDTF">2026-06-03T14:57:00Z</dcterms:created>
  <dcterms:modified xsi:type="dcterms:W3CDTF">2026-06-03T17:58:00Z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d543bc63-6ff2-4a68-bb17-d4b4a150541f</vt:lpwstr>
  </property>
</Properties>
</file>